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91C" w:rsidRPr="00072966" w:rsidRDefault="0046491C" w:rsidP="00E34F08">
      <w:pPr>
        <w:spacing w:after="0" w:line="360" w:lineRule="auto"/>
        <w:jc w:val="both"/>
        <w:rPr>
          <w:rFonts w:ascii="Palatino Linotype" w:hAnsi="Palatino Linotype" w:cs="Arial"/>
          <w:sz w:val="24"/>
          <w:szCs w:val="24"/>
        </w:rPr>
      </w:pPr>
      <w:r w:rsidRPr="00072966">
        <w:rPr>
          <w:rFonts w:ascii="Palatino Linotype" w:hAnsi="Palatino Linotype" w:cs="Arial"/>
          <w:b/>
          <w:sz w:val="24"/>
          <w:szCs w:val="24"/>
        </w:rPr>
        <w:t>VOTO PARTICULAR DEL COMISIONADO JOSÉ GUADA</w:t>
      </w:r>
      <w:r w:rsidR="00D72985" w:rsidRPr="00072966">
        <w:rPr>
          <w:rFonts w:ascii="Palatino Linotype" w:hAnsi="Palatino Linotype" w:cs="Arial"/>
          <w:b/>
          <w:sz w:val="24"/>
          <w:szCs w:val="24"/>
        </w:rPr>
        <w:t>LUPE LUNA HERNÁNDEZ DEL RECURSO</w:t>
      </w:r>
      <w:r w:rsidR="00BF3534" w:rsidRPr="00072966">
        <w:rPr>
          <w:rFonts w:ascii="Palatino Linotype" w:hAnsi="Palatino Linotype" w:cs="Arial"/>
          <w:b/>
          <w:sz w:val="24"/>
          <w:szCs w:val="24"/>
        </w:rPr>
        <w:t xml:space="preserve"> DE REVISIÓN </w:t>
      </w:r>
      <w:r w:rsidR="00BA3743">
        <w:rPr>
          <w:rFonts w:ascii="Palatino Linotype" w:hAnsi="Palatino Linotype" w:cs="Arial"/>
          <w:b/>
          <w:sz w:val="24"/>
          <w:szCs w:val="24"/>
        </w:rPr>
        <w:t>0</w:t>
      </w:r>
      <w:r w:rsidR="00BE66A6">
        <w:rPr>
          <w:rFonts w:ascii="Palatino Linotype" w:hAnsi="Palatino Linotype" w:cs="Arial"/>
          <w:b/>
          <w:sz w:val="24"/>
          <w:szCs w:val="24"/>
        </w:rPr>
        <w:t>4</w:t>
      </w:r>
      <w:r w:rsidR="003750D1">
        <w:rPr>
          <w:rFonts w:ascii="Palatino Linotype" w:hAnsi="Palatino Linotype" w:cs="Arial"/>
          <w:b/>
          <w:sz w:val="24"/>
          <w:szCs w:val="24"/>
        </w:rPr>
        <w:t>137</w:t>
      </w:r>
      <w:r w:rsidR="00C7250F" w:rsidRPr="00072966">
        <w:rPr>
          <w:rFonts w:ascii="Palatino Linotype" w:hAnsi="Palatino Linotype" w:cs="Arial"/>
          <w:b/>
          <w:sz w:val="24"/>
          <w:szCs w:val="24"/>
        </w:rPr>
        <w:t>/INFOEM/IP/RR/2018</w:t>
      </w:r>
      <w:r w:rsidR="0000525F" w:rsidRPr="00072966">
        <w:rPr>
          <w:rFonts w:ascii="Palatino Linotype" w:hAnsi="Palatino Linotype" w:cs="Arial"/>
          <w:b/>
          <w:sz w:val="24"/>
          <w:szCs w:val="24"/>
        </w:rPr>
        <w:t>.</w:t>
      </w:r>
    </w:p>
    <w:p w:rsidR="00902248" w:rsidRPr="00072966" w:rsidRDefault="00902248" w:rsidP="003C7244">
      <w:pPr>
        <w:spacing w:after="0" w:line="276" w:lineRule="auto"/>
        <w:jc w:val="both"/>
        <w:rPr>
          <w:rFonts w:ascii="Palatino Linotype" w:hAnsi="Palatino Linotype" w:cs="Arial"/>
          <w:sz w:val="24"/>
          <w:szCs w:val="24"/>
        </w:rPr>
      </w:pPr>
    </w:p>
    <w:p w:rsidR="0046491C" w:rsidRPr="00072966" w:rsidRDefault="0046491C" w:rsidP="00E34F08">
      <w:pPr>
        <w:spacing w:after="0" w:line="360" w:lineRule="auto"/>
        <w:jc w:val="both"/>
        <w:rPr>
          <w:rFonts w:ascii="Palatino Linotype" w:hAnsi="Palatino Linotype" w:cs="Arial"/>
          <w:b/>
          <w:sz w:val="24"/>
          <w:szCs w:val="24"/>
        </w:rPr>
      </w:pPr>
      <w:r w:rsidRPr="00072966">
        <w:rPr>
          <w:rFonts w:ascii="Palatino Linotype" w:hAnsi="Palatino Linotype" w:cs="Arial"/>
          <w:b/>
          <w:sz w:val="24"/>
          <w:szCs w:val="24"/>
        </w:rPr>
        <w:t>Líneas argumentativas:</w:t>
      </w:r>
    </w:p>
    <w:p w:rsidR="00902248" w:rsidRPr="00072966" w:rsidRDefault="00902248" w:rsidP="00E34F08">
      <w:pPr>
        <w:spacing w:after="0" w:line="240" w:lineRule="auto"/>
        <w:jc w:val="both"/>
        <w:rPr>
          <w:rFonts w:ascii="Palatino Linotype" w:hAnsi="Palatino Linotype" w:cs="Arial"/>
          <w:sz w:val="24"/>
          <w:szCs w:val="24"/>
        </w:rPr>
      </w:pPr>
    </w:p>
    <w:p w:rsidR="0046491C" w:rsidRPr="00072966" w:rsidRDefault="0046491C" w:rsidP="007879C6">
      <w:pPr>
        <w:spacing w:line="360" w:lineRule="auto"/>
        <w:jc w:val="both"/>
        <w:rPr>
          <w:rFonts w:ascii="Palatino Linotype" w:hAnsi="Palatino Linotype" w:cs="Arial"/>
          <w:sz w:val="24"/>
          <w:szCs w:val="24"/>
        </w:rPr>
      </w:pPr>
      <w:r w:rsidRPr="00072966">
        <w:rPr>
          <w:rFonts w:ascii="Palatino Linotype" w:hAnsi="Palatino Linotype" w:cs="Arial"/>
          <w:sz w:val="24"/>
          <w:szCs w:val="24"/>
        </w:rPr>
        <w:t>La falta de impugnación respecto al resto de los requerimientos que no fueron manifestados en el recurso de revisión, no debe entenderse como actos consentidos.</w:t>
      </w:r>
    </w:p>
    <w:p w:rsidR="00902248" w:rsidRPr="00072966" w:rsidRDefault="00902248" w:rsidP="007879C6">
      <w:pPr>
        <w:spacing w:after="0" w:line="360" w:lineRule="auto"/>
        <w:jc w:val="both"/>
        <w:rPr>
          <w:rFonts w:ascii="Palatino Linotype" w:hAnsi="Palatino Linotype" w:cs="Arial"/>
          <w:sz w:val="24"/>
          <w:szCs w:val="24"/>
        </w:rPr>
      </w:pPr>
    </w:p>
    <w:p w:rsidR="0046491C" w:rsidRPr="00072966" w:rsidRDefault="0046491C" w:rsidP="007879C6">
      <w:pPr>
        <w:spacing w:line="360" w:lineRule="auto"/>
        <w:jc w:val="both"/>
        <w:rPr>
          <w:rFonts w:ascii="Palatino Linotype" w:hAnsi="Palatino Linotype" w:cs="Arial"/>
          <w:sz w:val="24"/>
          <w:szCs w:val="24"/>
        </w:rPr>
      </w:pPr>
      <w:r w:rsidRPr="00072966">
        <w:rPr>
          <w:rFonts w:ascii="Palatino Linotype" w:hAnsi="Palatino Linotype" w:cs="Arial"/>
          <w:sz w:val="24"/>
          <w:szCs w:val="24"/>
        </w:rPr>
        <w:t>La figura de actos consentidos no debe ser invocada en el derecho humano fundamental de acceder a la información pública gubernamental.</w:t>
      </w:r>
    </w:p>
    <w:p w:rsidR="0001046D" w:rsidRPr="00072966" w:rsidRDefault="0001046D" w:rsidP="007879C6">
      <w:pPr>
        <w:spacing w:after="0" w:line="360" w:lineRule="auto"/>
        <w:jc w:val="both"/>
        <w:rPr>
          <w:rFonts w:ascii="Palatino Linotype" w:hAnsi="Palatino Linotype" w:cs="Arial"/>
          <w:sz w:val="24"/>
          <w:szCs w:val="24"/>
        </w:rPr>
      </w:pPr>
    </w:p>
    <w:p w:rsidR="0046491C" w:rsidRPr="00072966" w:rsidRDefault="0046491C" w:rsidP="007879C6">
      <w:pPr>
        <w:spacing w:line="360" w:lineRule="auto"/>
        <w:jc w:val="both"/>
        <w:rPr>
          <w:rFonts w:ascii="Palatino Linotype" w:hAnsi="Palatino Linotype" w:cs="Arial"/>
          <w:sz w:val="24"/>
          <w:szCs w:val="24"/>
        </w:rPr>
      </w:pPr>
      <w:r w:rsidRPr="00072966">
        <w:rPr>
          <w:rFonts w:ascii="Palatino Linotype" w:hAnsi="Palatino Linotype" w:cs="Arial"/>
          <w:sz w:val="24"/>
          <w:szCs w:val="24"/>
        </w:rPr>
        <w:t>El Órgano Garante del derecho de acceso a la información pública no debe imponerles las cargas formales del proceso jurisdiccional a los particulares.</w:t>
      </w:r>
    </w:p>
    <w:p w:rsidR="0046491C" w:rsidRPr="00072966" w:rsidRDefault="0046491C" w:rsidP="007879C6">
      <w:pPr>
        <w:spacing w:after="0" w:line="360" w:lineRule="auto"/>
        <w:jc w:val="both"/>
        <w:rPr>
          <w:rFonts w:ascii="Palatino Linotype" w:hAnsi="Palatino Linotype" w:cs="Arial"/>
          <w:sz w:val="24"/>
          <w:szCs w:val="24"/>
        </w:rPr>
      </w:pPr>
    </w:p>
    <w:p w:rsidR="003C7244" w:rsidRDefault="008063CB" w:rsidP="007879C6">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31972</wp:posOffset>
                </wp:positionH>
                <wp:positionV relativeFrom="paragraph">
                  <wp:posOffset>1257746</wp:posOffset>
                </wp:positionV>
                <wp:extent cx="5461687" cy="1989438"/>
                <wp:effectExtent l="19050" t="19050" r="24765" b="30480"/>
                <wp:wrapNone/>
                <wp:docPr id="5" name="Conector recto 5"/>
                <wp:cNvGraphicFramePr/>
                <a:graphic xmlns:a="http://schemas.openxmlformats.org/drawingml/2006/main">
                  <a:graphicData uri="http://schemas.microsoft.com/office/word/2010/wordprocessingShape">
                    <wps:wsp>
                      <wps:cNvCnPr/>
                      <wps:spPr>
                        <a:xfrm>
                          <a:off x="0" y="0"/>
                          <a:ext cx="5461687" cy="1989438"/>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1FD0F"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99.05pt" to="432.55pt,2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UK2AEAABMEAAAOAAAAZHJzL2Uyb0RvYy54bWysU8lu2zAQvRfoPxC815LcyFEEyzk4SC9F&#10;a3T5AIYaWgS4gWQt+e87pGwl6IKiRS/cZt7MvDfD7f2kFTmBD9KajlarkhIw3PbSHDv69cvjm4aS&#10;EJnpmbIGOnqGQO93r19tR9fC2g5W9eAJBjGhHV1HhxhdWxSBD6BZWFkHBo3Ces0iXv2x6D0bMbpW&#10;xbosN8Vofe+85RACvj7MRrrL8YUAHj8KESAS1VGsLebV5/UprcVuy9qjZ26Q/FIG+4cqNJMGky6h&#10;Hlhk5JuXP4XSknsbrIgrbnVhhZAcMgdkU5U/sPk8MAeZC4oT3CJT+H9h+YfTwRPZd7SmxDCNLdpj&#10;o3i0nvi0kTppNLrQouveHPzlFtzBJ8KT8DrtSIVMWdfzoitMkXB8rG821aa5pYSjrbpr7m7eNilq&#10;8Qx3PsR3YDVJh44qaRJx1rLT+xBn16tLelaGjB1dN/Vtnd2CVbJ/lEolYx4e2CtPTgzbzjgHE6tL&#10;wheemF4ZrCKRm+nkUzwrmHN8AoHSIIFqTpKG8ndxlUHvBBNYxQIs/wy8+Cco5IH9G/CCyJmtiQtY&#10;S2P9r7LH6SqFmP2vCsy8kwRPtj/nRmdpcPJyqy6/JI32y3uGP//l3XcAAAD//wMAUEsDBBQABgAI&#10;AAAAIQDEQDOr3gAAAAkBAAAPAAAAZHJzL2Rvd25yZXYueG1sTI9BT8MwDIXvSPyHyEjcWFrUjVKa&#10;TgOJCzttIMTRbU0b0TilybbCr8ec4Gb7PT1/r1zPblBHmoL1bCBdJKCIG99a7gy8PD9e5aBCRG5x&#10;8EwGvijAujo/K7Fo/Yl3dNzHTkkIhwIN9DGOhdah6clhWPiRWLR3PzmMsk6dbic8Sbgb9HWSrLRD&#10;y/Khx5Eeemo+9gdn4L7Ovmf39kq7Lmwy+2Rv8HO7NebyYt7cgYo0xz8z/OILOlTCVPsDt0ENBpbS&#10;JMr5Nk9BiZ6vljLUIqRpBroq9f8G1Q8AAAD//wMAUEsBAi0AFAAGAAgAAAAhALaDOJL+AAAA4QEA&#10;ABMAAAAAAAAAAAAAAAAAAAAAAFtDb250ZW50X1R5cGVzXS54bWxQSwECLQAUAAYACAAAACEAOP0h&#10;/9YAAACUAQAACwAAAAAAAAAAAAAAAAAvAQAAX3JlbHMvLnJlbHNQSwECLQAUAAYACAAAACEAkZ4V&#10;CtgBAAATBAAADgAAAAAAAAAAAAAAAAAuAgAAZHJzL2Uyb0RvYy54bWxQSwECLQAUAAYACAAAACEA&#10;xEAzq94AAAAJAQAADwAAAAAAAAAAAAAAAAAyBAAAZHJzL2Rvd25yZXYueG1sUEsFBgAAAAAEAAQA&#10;8wAAAD0FAAAAAA==&#10;" strokecolor="#5b9bd5 [3204]" strokeweight="2.25pt">
                <v:stroke joinstyle="miter"/>
              </v:line>
            </w:pict>
          </mc:Fallback>
        </mc:AlternateContent>
      </w:r>
      <w:r w:rsidR="0046491C" w:rsidRPr="00072966">
        <w:rPr>
          <w:rFonts w:ascii="Palatino Linotype" w:hAnsi="Palatino Linotype" w:cs="Arial"/>
          <w:sz w:val="24"/>
          <w:szCs w:val="24"/>
        </w:rPr>
        <w:t>Lo que este Órgano Garante realice en materia de suplencia de la queja no afecta la igualdad de las partes sino procura el cumplimiento de los deberes de protección del derecho humano.</w:t>
      </w:r>
      <w:r w:rsidR="00DA52E0">
        <w:rPr>
          <w:rFonts w:ascii="Palatino Linotype" w:hAnsi="Palatino Linotype" w:cs="Arial"/>
          <w:sz w:val="24"/>
          <w:szCs w:val="24"/>
        </w:rPr>
        <w:t xml:space="preserve">; además </w:t>
      </w:r>
      <w:r w:rsidR="0046491C" w:rsidRPr="00072966">
        <w:rPr>
          <w:rFonts w:ascii="Palatino Linotype" w:hAnsi="Palatino Linotype" w:cs="Arial"/>
          <w:sz w:val="24"/>
          <w:szCs w:val="24"/>
        </w:rPr>
        <w:t>tienen el deber que tienen dentro del margen de sus atribuciones, de prevenir violaciones a los derechos fundamentales.</w:t>
      </w:r>
    </w:p>
    <w:p w:rsidR="003C7244" w:rsidRDefault="003C7244" w:rsidP="003C7244">
      <w:pPr>
        <w:spacing w:after="0" w:line="276" w:lineRule="auto"/>
        <w:jc w:val="both"/>
        <w:rPr>
          <w:rFonts w:ascii="Palatino Linotype" w:hAnsi="Palatino Linotype" w:cs="Arial"/>
          <w:sz w:val="24"/>
          <w:szCs w:val="24"/>
        </w:rPr>
      </w:pPr>
    </w:p>
    <w:p w:rsidR="002C0734" w:rsidRDefault="002C0734" w:rsidP="003C7244">
      <w:pPr>
        <w:spacing w:after="0" w:line="276" w:lineRule="auto"/>
        <w:jc w:val="both"/>
        <w:rPr>
          <w:rFonts w:ascii="Palatino Linotype" w:hAnsi="Palatino Linotype" w:cs="Arial"/>
          <w:sz w:val="24"/>
          <w:szCs w:val="24"/>
        </w:rPr>
      </w:pPr>
    </w:p>
    <w:p w:rsidR="00DC63EE" w:rsidRDefault="00DC63EE" w:rsidP="003C7244">
      <w:pPr>
        <w:spacing w:after="0" w:line="276" w:lineRule="auto"/>
        <w:jc w:val="both"/>
        <w:rPr>
          <w:rFonts w:ascii="Palatino Linotype" w:hAnsi="Palatino Linotype" w:cs="Arial"/>
          <w:sz w:val="24"/>
          <w:szCs w:val="24"/>
        </w:rPr>
      </w:pPr>
    </w:p>
    <w:p w:rsidR="00DC63EE" w:rsidRDefault="00DC63EE" w:rsidP="003C7244">
      <w:pPr>
        <w:spacing w:after="0" w:line="276" w:lineRule="auto"/>
        <w:jc w:val="both"/>
        <w:rPr>
          <w:rFonts w:ascii="Palatino Linotype" w:hAnsi="Palatino Linotype" w:cs="Arial"/>
          <w:sz w:val="24"/>
          <w:szCs w:val="24"/>
        </w:rPr>
      </w:pPr>
    </w:p>
    <w:p w:rsidR="00DC63EE" w:rsidRDefault="00DC63EE" w:rsidP="003C7244">
      <w:pPr>
        <w:spacing w:after="0" w:line="276" w:lineRule="auto"/>
        <w:jc w:val="both"/>
        <w:rPr>
          <w:rFonts w:ascii="Palatino Linotype" w:hAnsi="Palatino Linotype" w:cs="Arial"/>
          <w:sz w:val="24"/>
          <w:szCs w:val="24"/>
        </w:rPr>
      </w:pPr>
    </w:p>
    <w:p w:rsidR="00DC63EE" w:rsidRPr="00072966" w:rsidRDefault="00DC63EE" w:rsidP="003C7244">
      <w:pPr>
        <w:spacing w:after="0" w:line="276" w:lineRule="auto"/>
        <w:jc w:val="both"/>
        <w:rPr>
          <w:rFonts w:ascii="Palatino Linotype" w:hAnsi="Palatino Linotype" w:cs="Arial"/>
          <w:sz w:val="24"/>
          <w:szCs w:val="24"/>
        </w:rPr>
      </w:pPr>
    </w:p>
    <w:p w:rsidR="00306687" w:rsidRDefault="00306687" w:rsidP="00E34F08">
      <w:pPr>
        <w:spacing w:after="0" w:line="360" w:lineRule="auto"/>
        <w:jc w:val="both"/>
        <w:rPr>
          <w:rFonts w:ascii="Palatino Linotype" w:hAnsi="Palatino Linotype" w:cs="Arial"/>
          <w:b/>
          <w:sz w:val="28"/>
          <w:szCs w:val="24"/>
        </w:rPr>
      </w:pPr>
    </w:p>
    <w:p w:rsidR="0046491C" w:rsidRPr="003C7244" w:rsidRDefault="0046491C" w:rsidP="00E34F08">
      <w:pPr>
        <w:spacing w:after="0" w:line="360" w:lineRule="auto"/>
        <w:jc w:val="both"/>
        <w:rPr>
          <w:rFonts w:ascii="Palatino Linotype" w:hAnsi="Palatino Linotype" w:cs="Arial"/>
          <w:sz w:val="28"/>
          <w:szCs w:val="24"/>
        </w:rPr>
      </w:pPr>
      <w:r w:rsidRPr="003C7244">
        <w:rPr>
          <w:rFonts w:ascii="Palatino Linotype" w:hAnsi="Palatino Linotype" w:cs="Arial"/>
          <w:b/>
          <w:sz w:val="28"/>
          <w:szCs w:val="24"/>
        </w:rPr>
        <w:t>Índice</w:t>
      </w:r>
    </w:p>
    <w:sdt>
      <w:sdtPr>
        <w:rPr>
          <w:rFonts w:ascii="Palatino Linotype" w:eastAsiaTheme="minorHAnsi" w:hAnsi="Palatino Linotype" w:cstheme="minorBidi"/>
          <w:color w:val="auto"/>
          <w:sz w:val="22"/>
          <w:szCs w:val="22"/>
          <w:lang w:val="es-ES" w:eastAsia="en-US"/>
        </w:rPr>
        <w:id w:val="-1628690016"/>
        <w:docPartObj>
          <w:docPartGallery w:val="Table of Contents"/>
          <w:docPartUnique/>
        </w:docPartObj>
      </w:sdtPr>
      <w:sdtEndPr>
        <w:rPr>
          <w:b/>
          <w:bCs/>
        </w:rPr>
      </w:sdtEndPr>
      <w:sdtContent>
        <w:p w:rsidR="0046491C" w:rsidRPr="00072966" w:rsidRDefault="0046491C" w:rsidP="00E34F08">
          <w:pPr>
            <w:pStyle w:val="TtulodeTDC"/>
            <w:spacing w:line="360" w:lineRule="auto"/>
            <w:rPr>
              <w:rFonts w:ascii="Palatino Linotype" w:hAnsi="Palatino Linotype"/>
            </w:rPr>
          </w:pPr>
        </w:p>
        <w:p w:rsidR="008063CB" w:rsidRDefault="0046491C">
          <w:pPr>
            <w:pStyle w:val="TDC1"/>
            <w:rPr>
              <w:rFonts w:eastAsiaTheme="minorEastAsia"/>
              <w:noProof/>
              <w:lang w:eastAsia="es-MX"/>
            </w:rPr>
          </w:pPr>
          <w:r w:rsidRPr="00072966">
            <w:rPr>
              <w:rFonts w:ascii="Palatino Linotype" w:hAnsi="Palatino Linotype"/>
            </w:rPr>
            <w:fldChar w:fldCharType="begin"/>
          </w:r>
          <w:r w:rsidRPr="00072966">
            <w:rPr>
              <w:rFonts w:ascii="Palatino Linotype" w:hAnsi="Palatino Linotype"/>
            </w:rPr>
            <w:instrText xml:space="preserve"> TOC \o "1-3" \h \z \u </w:instrText>
          </w:r>
          <w:r w:rsidRPr="00072966">
            <w:rPr>
              <w:rFonts w:ascii="Palatino Linotype" w:hAnsi="Palatino Linotype"/>
            </w:rPr>
            <w:fldChar w:fldCharType="separate"/>
          </w:r>
          <w:hyperlink w:anchor="_Toc534984478" w:history="1">
            <w:r w:rsidR="008063CB" w:rsidRPr="00506239">
              <w:rPr>
                <w:rStyle w:val="Hipervnculo"/>
                <w:rFonts w:ascii="Palatino Linotype" w:hAnsi="Palatino Linotype"/>
                <w:b/>
                <w:noProof/>
              </w:rPr>
              <w:t>I.</w:t>
            </w:r>
            <w:r w:rsidR="008063CB">
              <w:rPr>
                <w:rFonts w:eastAsiaTheme="minorEastAsia"/>
                <w:noProof/>
                <w:lang w:eastAsia="es-MX"/>
              </w:rPr>
              <w:tab/>
            </w:r>
            <w:r w:rsidR="008063CB" w:rsidRPr="00506239">
              <w:rPr>
                <w:rStyle w:val="Hipervnculo"/>
                <w:rFonts w:ascii="Palatino Linotype" w:hAnsi="Palatino Linotype"/>
                <w:b/>
                <w:noProof/>
              </w:rPr>
              <w:t>Consideraciones Generales.</w:t>
            </w:r>
            <w:r w:rsidR="008063CB">
              <w:rPr>
                <w:noProof/>
                <w:webHidden/>
              </w:rPr>
              <w:tab/>
            </w:r>
            <w:r w:rsidR="008063CB">
              <w:rPr>
                <w:noProof/>
                <w:webHidden/>
              </w:rPr>
              <w:fldChar w:fldCharType="begin"/>
            </w:r>
            <w:r w:rsidR="008063CB">
              <w:rPr>
                <w:noProof/>
                <w:webHidden/>
              </w:rPr>
              <w:instrText xml:space="preserve"> PAGEREF _Toc534984478 \h </w:instrText>
            </w:r>
            <w:r w:rsidR="008063CB">
              <w:rPr>
                <w:noProof/>
                <w:webHidden/>
              </w:rPr>
            </w:r>
            <w:r w:rsidR="008063CB">
              <w:rPr>
                <w:noProof/>
                <w:webHidden/>
              </w:rPr>
              <w:fldChar w:fldCharType="separate"/>
            </w:r>
            <w:r w:rsidR="008063CB">
              <w:rPr>
                <w:noProof/>
                <w:webHidden/>
              </w:rPr>
              <w:t>3</w:t>
            </w:r>
            <w:r w:rsidR="008063CB">
              <w:rPr>
                <w:noProof/>
                <w:webHidden/>
              </w:rPr>
              <w:fldChar w:fldCharType="end"/>
            </w:r>
          </w:hyperlink>
        </w:p>
        <w:p w:rsidR="008063CB" w:rsidRDefault="008063CB">
          <w:pPr>
            <w:pStyle w:val="TDC1"/>
            <w:rPr>
              <w:rFonts w:eastAsiaTheme="minorEastAsia"/>
              <w:noProof/>
              <w:lang w:eastAsia="es-MX"/>
            </w:rPr>
          </w:pPr>
          <w:hyperlink w:anchor="_Toc534984479" w:history="1">
            <w:r w:rsidRPr="00506239">
              <w:rPr>
                <w:rStyle w:val="Hipervnculo"/>
                <w:rFonts w:ascii="Palatino Linotype" w:hAnsi="Palatino Linotype"/>
                <w:b/>
                <w:noProof/>
              </w:rPr>
              <w:t>II.</w:t>
            </w:r>
            <w:r>
              <w:rPr>
                <w:rFonts w:eastAsiaTheme="minorEastAsia"/>
                <w:noProof/>
                <w:lang w:eastAsia="es-MX"/>
              </w:rPr>
              <w:tab/>
            </w:r>
            <w:r w:rsidRPr="00506239">
              <w:rPr>
                <w:rStyle w:val="Hipervnculo"/>
                <w:rFonts w:ascii="Palatino Linotype" w:hAnsi="Palatino Linotype"/>
                <w:b/>
                <w:noProof/>
              </w:rPr>
              <w:t>De los requerimientos planteados en el recurso de revisión.</w:t>
            </w:r>
            <w:r>
              <w:rPr>
                <w:noProof/>
                <w:webHidden/>
              </w:rPr>
              <w:tab/>
            </w:r>
            <w:r>
              <w:rPr>
                <w:noProof/>
                <w:webHidden/>
              </w:rPr>
              <w:fldChar w:fldCharType="begin"/>
            </w:r>
            <w:r>
              <w:rPr>
                <w:noProof/>
                <w:webHidden/>
              </w:rPr>
              <w:instrText xml:space="preserve"> PAGEREF _Toc534984479 \h </w:instrText>
            </w:r>
            <w:r>
              <w:rPr>
                <w:noProof/>
                <w:webHidden/>
              </w:rPr>
            </w:r>
            <w:r>
              <w:rPr>
                <w:noProof/>
                <w:webHidden/>
              </w:rPr>
              <w:fldChar w:fldCharType="separate"/>
            </w:r>
            <w:r>
              <w:rPr>
                <w:noProof/>
                <w:webHidden/>
              </w:rPr>
              <w:t>4</w:t>
            </w:r>
            <w:r>
              <w:rPr>
                <w:noProof/>
                <w:webHidden/>
              </w:rPr>
              <w:fldChar w:fldCharType="end"/>
            </w:r>
          </w:hyperlink>
        </w:p>
        <w:p w:rsidR="008063CB" w:rsidRDefault="008063CB">
          <w:pPr>
            <w:pStyle w:val="TDC1"/>
            <w:rPr>
              <w:rFonts w:eastAsiaTheme="minorEastAsia"/>
              <w:noProof/>
              <w:lang w:eastAsia="es-MX"/>
            </w:rPr>
          </w:pPr>
          <w:r>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0FF493BD" wp14:editId="34D47D52">
                    <wp:simplePos x="0" y="0"/>
                    <wp:positionH relativeFrom="column">
                      <wp:posOffset>7260</wp:posOffset>
                    </wp:positionH>
                    <wp:positionV relativeFrom="paragraph">
                      <wp:posOffset>876575</wp:posOffset>
                    </wp:positionV>
                    <wp:extent cx="5597610" cy="3991232"/>
                    <wp:effectExtent l="19050" t="19050" r="22225" b="28575"/>
                    <wp:wrapNone/>
                    <wp:docPr id="6" name="Conector recto 6"/>
                    <wp:cNvGraphicFramePr/>
                    <a:graphic xmlns:a="http://schemas.openxmlformats.org/drawingml/2006/main">
                      <a:graphicData uri="http://schemas.microsoft.com/office/word/2010/wordprocessingShape">
                        <wps:wsp>
                          <wps:cNvCnPr/>
                          <wps:spPr>
                            <a:xfrm>
                              <a:off x="0" y="0"/>
                              <a:ext cx="5597610" cy="3991232"/>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E2A4C"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69pt" to="441.3pt,3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a1wEAABMEAAAOAAAAZHJzL2Uyb0RvYy54bWysU8lu2zAQvRfoPxC811oCO7FgOQcH6aVo&#10;jTb9AIYaWgS4gWQt+e87pGQl6IKiRS/cZt7MvDfD3f2oFTmDD9KallarkhIw3HbSnFr69enx3R0l&#10;ITLTMWUNtPQCgd7v377ZDa6B2vZWdeAJBjGhGVxL+xhdUxSB96BZWFkHBo3Ces0iXv2p6DwbMLpW&#10;RV2Wm2KwvnPecggBXx8mI93n+EIAj5+ECBCJainWFvPq8/qc1mK/Y83JM9dLPpfB/qEKzaTBpEuo&#10;BxYZ+eblT6G05N4GK+KKW11YISSHzAHZVOUPbL70zEHmguIEt8gU/l9Y/vF89ER2Ld1QYpjGFh2w&#10;UTxaT3zayCZpNLjQoOvBHP18C+7oE+FReJ12pELGrOtl0RXGSDg+rtfb202F8nO03Wy3VX1Tp6jF&#10;C9z5EN+D1SQdWqqkScRZw84fQpxcry7pWRkytLS+W9+us1uwSnaPUqlkzMMDB+XJmWHbGedgYjUn&#10;fOWJ6ZXBKhK5iU4+xYuCKcdnECgNEqimJGkofxdXGfROMIFVLMDyz8DZP0EhD+zfgBdEzmxNXMBa&#10;Gut/lT2OVynE5H9VYOKdJHi23SU3OkuDk5dbNf+SNNqv7xn+8pf33wEAAP//AwBQSwMEFAAGAAgA&#10;AAAhAIhgHJjeAAAACQEAAA8AAABkcnMvZG93bnJldi54bWxMj8FOwzAQRO9I/IO1SNyo01LSKMSp&#10;ChIXempBiOMmXpKIeB1itw18PcupnFajGc2+KdaT69WRxtB5NjCfJaCIa287bgy8vjzdZKBCRLbY&#10;eyYD3xRgXV5eFJhbf+IdHfexUVLCIUcDbYxDrnWoW3IYZn4gFu/Djw6jyLHRdsSTlLteL5Ik1Q47&#10;lg8tDvTYUv25PzgDD9XyZ3Lvb7RrwmbZPXcr/Npujbm+mjb3oCJN8RyGP3xBh1KYKn9gG1Qvei5B&#10;ObeZTBI/yxYpqMrAKk3vQJeF/r+g/AUAAP//AwBQSwECLQAUAAYACAAAACEAtoM4kv4AAADhAQAA&#10;EwAAAAAAAAAAAAAAAAAAAAAAW0NvbnRlbnRfVHlwZXNdLnhtbFBLAQItABQABgAIAAAAIQA4/SH/&#10;1gAAAJQBAAALAAAAAAAAAAAAAAAAAC8BAABfcmVscy8ucmVsc1BLAQItABQABgAIAAAAIQDgHF+a&#10;1wEAABMEAAAOAAAAAAAAAAAAAAAAAC4CAABkcnMvZTJvRG9jLnhtbFBLAQItABQABgAIAAAAIQCI&#10;YByY3gAAAAkBAAAPAAAAAAAAAAAAAAAAADEEAABkcnMvZG93bnJldi54bWxQSwUGAAAAAAQABADz&#10;AAAAPAUAAAAA&#10;" strokecolor="#5b9bd5 [3204]" strokeweight="2.25pt">
                    <v:stroke joinstyle="miter"/>
                  </v:line>
                </w:pict>
              </mc:Fallback>
            </mc:AlternateContent>
          </w:r>
          <w:hyperlink w:anchor="_Toc534984480" w:history="1">
            <w:r w:rsidRPr="00506239">
              <w:rPr>
                <w:rStyle w:val="Hipervnculo"/>
                <w:rFonts w:ascii="Palatino Linotype" w:hAnsi="Palatino Linotype"/>
                <w:b/>
                <w:noProof/>
              </w:rPr>
              <w:t>III.</w:t>
            </w:r>
            <w:r>
              <w:rPr>
                <w:rFonts w:eastAsiaTheme="minorEastAsia"/>
                <w:noProof/>
                <w:lang w:eastAsia="es-MX"/>
              </w:rPr>
              <w:tab/>
            </w:r>
            <w:r w:rsidRPr="00506239">
              <w:rPr>
                <w:rStyle w:val="Hipervnculo"/>
                <w:rFonts w:ascii="Palatino Linotype" w:hAnsi="Palatino Linotype"/>
                <w:b/>
                <w:noProof/>
              </w:rPr>
              <w:t>Los actos consentidos no deben invocarse en el derecho fundamental de acceder a la información pública gubernamental.</w:t>
            </w:r>
            <w:r>
              <w:rPr>
                <w:noProof/>
                <w:webHidden/>
              </w:rPr>
              <w:tab/>
            </w:r>
            <w:r>
              <w:rPr>
                <w:noProof/>
                <w:webHidden/>
              </w:rPr>
              <w:fldChar w:fldCharType="begin"/>
            </w:r>
            <w:r>
              <w:rPr>
                <w:noProof/>
                <w:webHidden/>
              </w:rPr>
              <w:instrText xml:space="preserve"> PAGEREF _Toc534984480 \h </w:instrText>
            </w:r>
            <w:r>
              <w:rPr>
                <w:noProof/>
                <w:webHidden/>
              </w:rPr>
            </w:r>
            <w:r>
              <w:rPr>
                <w:noProof/>
                <w:webHidden/>
              </w:rPr>
              <w:fldChar w:fldCharType="separate"/>
            </w:r>
            <w:r>
              <w:rPr>
                <w:noProof/>
                <w:webHidden/>
              </w:rPr>
              <w:t>8</w:t>
            </w:r>
            <w:r>
              <w:rPr>
                <w:noProof/>
                <w:webHidden/>
              </w:rPr>
              <w:fldChar w:fldCharType="end"/>
            </w:r>
          </w:hyperlink>
        </w:p>
        <w:p w:rsidR="00072966" w:rsidRPr="003C7244" w:rsidRDefault="0046491C" w:rsidP="003C7244">
          <w:pPr>
            <w:spacing w:line="360" w:lineRule="auto"/>
            <w:rPr>
              <w:rFonts w:ascii="Palatino Linotype" w:hAnsi="Palatino Linotype"/>
            </w:rPr>
          </w:pPr>
          <w:r w:rsidRPr="00072966">
            <w:rPr>
              <w:rFonts w:ascii="Palatino Linotype" w:hAnsi="Palatino Linotype"/>
              <w:b/>
              <w:bCs/>
              <w:lang w:val="es-ES"/>
            </w:rPr>
            <w:fldChar w:fldCharType="end"/>
          </w:r>
        </w:p>
      </w:sdtContent>
    </w:sdt>
    <w:p w:rsidR="003C7244" w:rsidRDefault="003C7244" w:rsidP="003C7244"/>
    <w:p w:rsidR="007879C6" w:rsidRDefault="007879C6" w:rsidP="003C7244"/>
    <w:p w:rsidR="007879C6" w:rsidRDefault="007879C6" w:rsidP="003C7244"/>
    <w:p w:rsidR="007879C6" w:rsidRDefault="007879C6" w:rsidP="003C7244"/>
    <w:p w:rsidR="007879C6" w:rsidRDefault="007879C6" w:rsidP="003C7244"/>
    <w:p w:rsidR="003C7244" w:rsidRDefault="003C7244" w:rsidP="003C7244"/>
    <w:p w:rsidR="003C7244" w:rsidRDefault="003C7244" w:rsidP="003C7244"/>
    <w:p w:rsidR="003C7244" w:rsidRDefault="003C7244" w:rsidP="003C7244"/>
    <w:p w:rsidR="003C7244" w:rsidRDefault="003C7244" w:rsidP="003C7244"/>
    <w:p w:rsidR="0046491C" w:rsidRPr="00072966" w:rsidRDefault="0046491C" w:rsidP="00E34F08">
      <w:pPr>
        <w:pStyle w:val="Ttulo1"/>
        <w:numPr>
          <w:ilvl w:val="0"/>
          <w:numId w:val="12"/>
        </w:numPr>
        <w:spacing w:line="360" w:lineRule="auto"/>
        <w:rPr>
          <w:rFonts w:ascii="Palatino Linotype" w:hAnsi="Palatino Linotype"/>
          <w:b/>
          <w:color w:val="auto"/>
          <w:sz w:val="24"/>
          <w:szCs w:val="24"/>
        </w:rPr>
      </w:pPr>
      <w:bookmarkStart w:id="0" w:name="_Toc534984478"/>
      <w:r w:rsidRPr="00072966">
        <w:rPr>
          <w:rFonts w:ascii="Palatino Linotype" w:hAnsi="Palatino Linotype"/>
          <w:b/>
          <w:color w:val="auto"/>
          <w:sz w:val="24"/>
          <w:szCs w:val="24"/>
        </w:rPr>
        <w:lastRenderedPageBreak/>
        <w:t>Consideracione</w:t>
      </w:r>
      <w:bookmarkStart w:id="1" w:name="_GoBack"/>
      <w:r w:rsidRPr="00072966">
        <w:rPr>
          <w:rFonts w:ascii="Palatino Linotype" w:hAnsi="Palatino Linotype"/>
          <w:b/>
          <w:color w:val="auto"/>
          <w:sz w:val="24"/>
          <w:szCs w:val="24"/>
        </w:rPr>
        <w:t>s</w:t>
      </w:r>
      <w:bookmarkEnd w:id="1"/>
      <w:r w:rsidRPr="00072966">
        <w:rPr>
          <w:rFonts w:ascii="Palatino Linotype" w:hAnsi="Palatino Linotype"/>
          <w:b/>
          <w:color w:val="auto"/>
          <w:sz w:val="24"/>
          <w:szCs w:val="24"/>
        </w:rPr>
        <w:t xml:space="preserve"> Generales.</w:t>
      </w:r>
      <w:bookmarkEnd w:id="0"/>
    </w:p>
    <w:p w:rsidR="0046491C" w:rsidRPr="00072966" w:rsidRDefault="0046491C" w:rsidP="00DF7B12">
      <w:pPr>
        <w:pStyle w:val="Prrafodelista"/>
        <w:spacing w:after="0" w:line="240" w:lineRule="auto"/>
        <w:ind w:left="1080"/>
        <w:jc w:val="both"/>
        <w:rPr>
          <w:rFonts w:ascii="Palatino Linotype" w:hAnsi="Palatino Linotype" w:cs="Arial"/>
          <w:b/>
          <w:sz w:val="24"/>
          <w:szCs w:val="24"/>
        </w:rPr>
      </w:pPr>
    </w:p>
    <w:p w:rsidR="0046491C" w:rsidRPr="00072966" w:rsidRDefault="0046491C" w:rsidP="00783716">
      <w:pPr>
        <w:pStyle w:val="Prrafodelista"/>
        <w:numPr>
          <w:ilvl w:val="0"/>
          <w:numId w:val="1"/>
        </w:numPr>
        <w:spacing w:after="0" w:line="360" w:lineRule="auto"/>
        <w:ind w:left="0" w:right="-93" w:firstLine="0"/>
        <w:jc w:val="both"/>
        <w:rPr>
          <w:rFonts w:ascii="Palatino Linotype" w:hAnsi="Palatino Linotype" w:cs="Arial"/>
          <w:sz w:val="24"/>
          <w:szCs w:val="24"/>
        </w:rPr>
      </w:pPr>
      <w:r w:rsidRPr="00072966">
        <w:rPr>
          <w:rFonts w:ascii="Palatino Linotype" w:eastAsia="Times New Roman" w:hAnsi="Palatino Linotype" w:cs="Arial"/>
          <w:sz w:val="24"/>
          <w:szCs w:val="24"/>
          <w:lang w:val="es-ES_tradnl"/>
        </w:rPr>
        <w:t xml:space="preserve">He </w:t>
      </w:r>
      <w:r w:rsidRPr="002E4D49">
        <w:rPr>
          <w:rFonts w:ascii="Palatino Linotype" w:eastAsia="Arial Unicode MS" w:hAnsi="Palatino Linotype" w:cs="Arial"/>
          <w:sz w:val="24"/>
          <w:szCs w:val="24"/>
          <w:bdr w:val="nil"/>
          <w:lang w:val="es-ES_tradnl"/>
        </w:rPr>
        <w:t>concurrido</w:t>
      </w:r>
      <w:r w:rsidRPr="00072966">
        <w:rPr>
          <w:rFonts w:ascii="Palatino Linotype" w:eastAsia="Times New Roman" w:hAnsi="Palatino Linotype" w:cs="Arial"/>
          <w:sz w:val="24"/>
          <w:szCs w:val="24"/>
          <w:lang w:val="es-ES_tradnl"/>
        </w:rPr>
        <w:t xml:space="preserve"> con mi </w:t>
      </w:r>
      <w:r w:rsidR="00D33AF9" w:rsidRPr="00072966">
        <w:rPr>
          <w:rFonts w:ascii="Palatino Linotype" w:eastAsia="Times New Roman" w:hAnsi="Palatino Linotype" w:cs="Arial"/>
          <w:sz w:val="24"/>
          <w:szCs w:val="24"/>
          <w:lang w:val="es-ES_tradnl"/>
        </w:rPr>
        <w:t>voto</w:t>
      </w:r>
      <w:r w:rsidRPr="00072966">
        <w:rPr>
          <w:rFonts w:ascii="Palatino Linotype" w:eastAsia="Times New Roman" w:hAnsi="Palatino Linotype" w:cs="Arial"/>
          <w:sz w:val="24"/>
          <w:szCs w:val="24"/>
          <w:lang w:val="es-ES_tradnl"/>
        </w:rPr>
        <w:t xml:space="preserve"> particular de la presente resolución emitida </w:t>
      </w:r>
      <w:r w:rsidRPr="00072966">
        <w:rPr>
          <w:rFonts w:ascii="Palatino Linotype" w:hAnsi="Palatino Linotype" w:cs="Arial"/>
          <w:sz w:val="24"/>
          <w:szCs w:val="24"/>
        </w:rPr>
        <w:t>por el Pleno del Instituto de Transparencia, Acceso a la Información Pública y Protección de Datos Personales del Estado de Méxi</w:t>
      </w:r>
      <w:r w:rsidR="002C1F75" w:rsidRPr="00072966">
        <w:rPr>
          <w:rFonts w:ascii="Palatino Linotype" w:hAnsi="Palatino Linotype" w:cs="Arial"/>
          <w:sz w:val="24"/>
          <w:szCs w:val="24"/>
        </w:rPr>
        <w:t xml:space="preserve">co y Municipios, en su </w:t>
      </w:r>
      <w:r w:rsidR="003750D1">
        <w:rPr>
          <w:rFonts w:ascii="Palatino Linotype" w:hAnsi="Palatino Linotype" w:cs="Arial"/>
          <w:sz w:val="24"/>
          <w:szCs w:val="24"/>
        </w:rPr>
        <w:t>Primera</w:t>
      </w:r>
      <w:r w:rsidR="00BA3743" w:rsidRPr="00072966">
        <w:rPr>
          <w:rFonts w:ascii="Palatino Linotype" w:hAnsi="Palatino Linotype" w:cs="Arial"/>
          <w:sz w:val="24"/>
          <w:szCs w:val="24"/>
        </w:rPr>
        <w:t xml:space="preserve"> </w:t>
      </w:r>
      <w:r w:rsidR="003750D1" w:rsidRPr="00072966">
        <w:rPr>
          <w:rFonts w:ascii="Palatino Linotype" w:hAnsi="Palatino Linotype" w:cs="Arial"/>
          <w:sz w:val="24"/>
          <w:szCs w:val="24"/>
        </w:rPr>
        <w:t xml:space="preserve">Sesión Ordinaria </w:t>
      </w:r>
      <w:r w:rsidR="00C7250F" w:rsidRPr="00072966">
        <w:rPr>
          <w:rFonts w:ascii="Palatino Linotype" w:hAnsi="Palatino Linotype" w:cs="Arial"/>
          <w:sz w:val="24"/>
          <w:szCs w:val="24"/>
        </w:rPr>
        <w:t xml:space="preserve">de fecha </w:t>
      </w:r>
      <w:r w:rsidR="003750D1">
        <w:rPr>
          <w:rFonts w:ascii="Palatino Linotype" w:hAnsi="Palatino Linotype" w:cs="Arial"/>
          <w:sz w:val="24"/>
          <w:szCs w:val="24"/>
        </w:rPr>
        <w:t>nueve (9) de enero de dos mil diecinueve</w:t>
      </w:r>
      <w:r w:rsidRPr="005A15E9">
        <w:rPr>
          <w:rFonts w:ascii="Palatino Linotype" w:hAnsi="Palatino Linotype" w:cs="Arial"/>
          <w:sz w:val="24"/>
          <w:szCs w:val="24"/>
        </w:rPr>
        <w:t>, en el recurso</w:t>
      </w:r>
      <w:r w:rsidR="002C1F75" w:rsidRPr="005A15E9">
        <w:rPr>
          <w:rFonts w:ascii="Palatino Linotype" w:hAnsi="Palatino Linotype" w:cs="Arial"/>
          <w:sz w:val="24"/>
          <w:szCs w:val="24"/>
        </w:rPr>
        <w:t xml:space="preserve"> de revisión</w:t>
      </w:r>
      <w:r w:rsidRPr="005A15E9">
        <w:rPr>
          <w:rFonts w:ascii="Palatino Linotype" w:hAnsi="Palatino Linotype" w:cs="Arial"/>
          <w:b/>
          <w:sz w:val="24"/>
          <w:szCs w:val="24"/>
        </w:rPr>
        <w:t xml:space="preserve"> </w:t>
      </w:r>
      <w:r w:rsidRPr="005A15E9">
        <w:rPr>
          <w:rFonts w:ascii="Palatino Linotype" w:hAnsi="Palatino Linotype" w:cs="Arial"/>
          <w:sz w:val="24"/>
          <w:szCs w:val="24"/>
        </w:rPr>
        <w:t>en contra de la respuesta de</w:t>
      </w:r>
      <w:r w:rsidR="003750D1">
        <w:rPr>
          <w:rFonts w:ascii="Palatino Linotype" w:hAnsi="Palatino Linotype" w:cs="Arial"/>
          <w:sz w:val="24"/>
          <w:szCs w:val="24"/>
        </w:rPr>
        <w:t xml:space="preserve"> </w:t>
      </w:r>
      <w:r w:rsidRPr="005A15E9">
        <w:rPr>
          <w:rFonts w:ascii="Palatino Linotype" w:hAnsi="Palatino Linotype" w:cs="Arial"/>
          <w:sz w:val="24"/>
          <w:szCs w:val="24"/>
        </w:rPr>
        <w:t>l</w:t>
      </w:r>
      <w:r w:rsidR="003750D1">
        <w:rPr>
          <w:rFonts w:ascii="Palatino Linotype" w:hAnsi="Palatino Linotype" w:cs="Arial"/>
          <w:sz w:val="24"/>
          <w:szCs w:val="24"/>
        </w:rPr>
        <w:t>a</w:t>
      </w:r>
      <w:r w:rsidRPr="005A15E9">
        <w:rPr>
          <w:rFonts w:ascii="Palatino Linotype" w:hAnsi="Palatino Linotype" w:cs="Arial"/>
          <w:sz w:val="24"/>
          <w:szCs w:val="24"/>
        </w:rPr>
        <w:t xml:space="preserve"> </w:t>
      </w:r>
      <w:r w:rsidR="003750D1" w:rsidRPr="003750D1">
        <w:rPr>
          <w:rFonts w:ascii="Palatino Linotype" w:eastAsia="Calibri" w:hAnsi="Palatino Linotype" w:cs="Times New Roman"/>
          <w:b/>
          <w:sz w:val="24"/>
          <w:szCs w:val="24"/>
          <w:lang w:eastAsia="es-ES"/>
        </w:rPr>
        <w:t>Universidad Politécnica del Valle de Toluca</w:t>
      </w:r>
      <w:r w:rsidR="00BE66A6" w:rsidRPr="00BE66A6">
        <w:rPr>
          <w:rFonts w:ascii="Palatino Linotype" w:eastAsia="Calibri" w:hAnsi="Palatino Linotype" w:cs="Times New Roman"/>
          <w:b/>
          <w:sz w:val="24"/>
          <w:szCs w:val="24"/>
          <w:lang w:eastAsia="es-ES"/>
        </w:rPr>
        <w:t xml:space="preserve"> </w:t>
      </w:r>
      <w:r w:rsidRPr="005A15E9">
        <w:rPr>
          <w:rFonts w:ascii="Palatino Linotype" w:hAnsi="Palatino Linotype" w:cs="Arial"/>
          <w:sz w:val="24"/>
          <w:szCs w:val="24"/>
        </w:rPr>
        <w:t>procedimiento a</w:t>
      </w:r>
      <w:r w:rsidR="0000525F" w:rsidRPr="005A15E9">
        <w:rPr>
          <w:rFonts w:ascii="Palatino Linotype" w:hAnsi="Palatino Linotype" w:cs="Arial"/>
          <w:sz w:val="24"/>
          <w:szCs w:val="24"/>
        </w:rPr>
        <w:t>l</w:t>
      </w:r>
      <w:r w:rsidR="00902248" w:rsidRPr="005A15E9">
        <w:rPr>
          <w:rFonts w:ascii="Palatino Linotype" w:hAnsi="Palatino Linotype" w:cs="Arial"/>
          <w:sz w:val="24"/>
          <w:szCs w:val="24"/>
        </w:rPr>
        <w:t xml:space="preserve"> que se le asignó </w:t>
      </w:r>
      <w:r w:rsidR="0000525F" w:rsidRPr="005A15E9">
        <w:rPr>
          <w:rFonts w:ascii="Palatino Linotype" w:hAnsi="Palatino Linotype" w:cs="Arial"/>
          <w:sz w:val="24"/>
          <w:szCs w:val="24"/>
        </w:rPr>
        <w:t>el</w:t>
      </w:r>
      <w:r w:rsidRPr="005A15E9">
        <w:rPr>
          <w:rFonts w:ascii="Palatino Linotype" w:hAnsi="Palatino Linotype" w:cs="Arial"/>
          <w:sz w:val="24"/>
          <w:szCs w:val="24"/>
        </w:rPr>
        <w:t xml:space="preserve"> número de expediente </w:t>
      </w:r>
      <w:r w:rsidR="0076241F" w:rsidRPr="005A15E9">
        <w:rPr>
          <w:rFonts w:ascii="Palatino Linotype" w:eastAsia="Times New Roman" w:hAnsi="Palatino Linotype" w:cs="Arial"/>
          <w:b/>
          <w:bCs/>
          <w:sz w:val="24"/>
          <w:szCs w:val="24"/>
          <w:lang w:eastAsia="es-ES"/>
        </w:rPr>
        <w:t>0</w:t>
      </w:r>
      <w:r w:rsidR="00BE66A6">
        <w:rPr>
          <w:rFonts w:ascii="Palatino Linotype" w:eastAsia="Times New Roman" w:hAnsi="Palatino Linotype" w:cs="Arial"/>
          <w:b/>
          <w:bCs/>
          <w:sz w:val="24"/>
          <w:szCs w:val="24"/>
          <w:lang w:eastAsia="es-ES"/>
        </w:rPr>
        <w:t>4255</w:t>
      </w:r>
      <w:r w:rsidR="001754A4">
        <w:rPr>
          <w:rFonts w:ascii="Palatino Linotype" w:eastAsia="Times New Roman" w:hAnsi="Palatino Linotype" w:cs="Arial"/>
          <w:b/>
          <w:bCs/>
          <w:sz w:val="24"/>
          <w:szCs w:val="24"/>
          <w:lang w:eastAsia="es-ES"/>
        </w:rPr>
        <w:t>/</w:t>
      </w:r>
      <w:r w:rsidR="00C7250F" w:rsidRPr="00072966">
        <w:rPr>
          <w:rFonts w:ascii="Palatino Linotype" w:eastAsia="Times New Roman" w:hAnsi="Palatino Linotype" w:cs="Arial"/>
          <w:b/>
          <w:bCs/>
          <w:sz w:val="24"/>
          <w:szCs w:val="24"/>
          <w:lang w:eastAsia="es-ES"/>
        </w:rPr>
        <w:t>INFOEM/IP/RR/2018</w:t>
      </w:r>
      <w:r w:rsidR="0000525F" w:rsidRPr="00072966">
        <w:rPr>
          <w:rFonts w:ascii="Palatino Linotype" w:eastAsia="Times New Roman" w:hAnsi="Palatino Linotype" w:cs="Arial"/>
          <w:b/>
          <w:bCs/>
          <w:sz w:val="24"/>
          <w:szCs w:val="24"/>
          <w:lang w:eastAsia="es-ES"/>
        </w:rPr>
        <w:t>.</w:t>
      </w:r>
    </w:p>
    <w:p w:rsidR="0000525F" w:rsidRPr="00072966" w:rsidRDefault="0000525F" w:rsidP="00DF7B12">
      <w:pPr>
        <w:pStyle w:val="Prrafodelista"/>
        <w:spacing w:after="0" w:line="240" w:lineRule="auto"/>
        <w:ind w:left="426"/>
        <w:jc w:val="both"/>
        <w:rPr>
          <w:rFonts w:ascii="Palatino Linotype" w:hAnsi="Palatino Linotype" w:cs="Arial"/>
          <w:sz w:val="24"/>
          <w:szCs w:val="24"/>
        </w:rPr>
      </w:pPr>
    </w:p>
    <w:p w:rsidR="0075096F" w:rsidRPr="0075096F" w:rsidRDefault="00C7250F" w:rsidP="00783716">
      <w:pPr>
        <w:pStyle w:val="Prrafodelista"/>
        <w:numPr>
          <w:ilvl w:val="0"/>
          <w:numId w:val="1"/>
        </w:numPr>
        <w:spacing w:after="0" w:line="360" w:lineRule="auto"/>
        <w:ind w:left="0" w:right="-93" w:firstLine="0"/>
        <w:jc w:val="both"/>
        <w:rPr>
          <w:rFonts w:ascii="Palatino Linotype" w:hAnsi="Palatino Linotype" w:cs="Arial"/>
          <w:i/>
          <w:sz w:val="24"/>
          <w:szCs w:val="24"/>
        </w:rPr>
      </w:pPr>
      <w:r w:rsidRPr="00DD7C56">
        <w:rPr>
          <w:rFonts w:ascii="Palatino Linotype" w:hAnsi="Palatino Linotype" w:cs="Arial"/>
          <w:sz w:val="24"/>
          <w:szCs w:val="24"/>
        </w:rPr>
        <w:t xml:space="preserve">El sentido </w:t>
      </w:r>
      <w:r w:rsidRPr="002E4D49">
        <w:rPr>
          <w:rFonts w:ascii="Palatino Linotype" w:eastAsia="Arial Unicode MS" w:hAnsi="Palatino Linotype" w:cs="Arial"/>
          <w:sz w:val="24"/>
          <w:szCs w:val="24"/>
          <w:bdr w:val="nil"/>
          <w:lang w:val="es-ES_tradnl"/>
        </w:rPr>
        <w:t>de</w:t>
      </w:r>
      <w:r w:rsidRPr="00DD7C56">
        <w:rPr>
          <w:rFonts w:ascii="Palatino Linotype" w:hAnsi="Palatino Linotype" w:cs="Arial"/>
          <w:sz w:val="24"/>
          <w:szCs w:val="24"/>
        </w:rPr>
        <w:t xml:space="preserve"> la Resolución determin</w:t>
      </w:r>
      <w:r w:rsidR="00BF43E0">
        <w:rPr>
          <w:rFonts w:ascii="Palatino Linotype" w:hAnsi="Palatino Linotype" w:cs="Arial"/>
          <w:sz w:val="24"/>
          <w:szCs w:val="24"/>
        </w:rPr>
        <w:t>ó</w:t>
      </w:r>
      <w:r w:rsidR="00BE66A6">
        <w:rPr>
          <w:rFonts w:ascii="Palatino Linotype" w:hAnsi="Palatino Linotype" w:cs="Arial"/>
          <w:sz w:val="24"/>
          <w:szCs w:val="24"/>
        </w:rPr>
        <w:t xml:space="preserve"> </w:t>
      </w:r>
      <w:r w:rsidR="0075096F">
        <w:rPr>
          <w:rFonts w:ascii="Palatino Linotype" w:hAnsi="Palatino Linotype" w:cs="Arial"/>
          <w:b/>
          <w:sz w:val="24"/>
          <w:szCs w:val="24"/>
        </w:rPr>
        <w:t>MODIFICAR</w:t>
      </w:r>
      <w:r w:rsidR="00BE66A6" w:rsidRPr="00BE66A6">
        <w:rPr>
          <w:rFonts w:ascii="Palatino Linotype" w:hAnsi="Palatino Linotype" w:cs="Arial"/>
          <w:sz w:val="24"/>
          <w:szCs w:val="24"/>
        </w:rPr>
        <w:t xml:space="preserve"> el recurso de revisión</w:t>
      </w:r>
      <w:r w:rsidR="0075096F">
        <w:rPr>
          <w:rFonts w:ascii="Palatino Linotype" w:hAnsi="Palatino Linotype" w:cs="Arial"/>
          <w:sz w:val="24"/>
          <w:szCs w:val="24"/>
        </w:rPr>
        <w:t xml:space="preserve"> y </w:t>
      </w:r>
      <w:r w:rsidR="0075096F" w:rsidRPr="0075096F">
        <w:rPr>
          <w:rFonts w:ascii="Palatino Linotype" w:hAnsi="Palatino Linotype"/>
          <w:bCs/>
          <w:sz w:val="24"/>
          <w:szCs w:val="24"/>
        </w:rPr>
        <w:t xml:space="preserve">hacer </w:t>
      </w:r>
      <w:r w:rsidR="0075096F" w:rsidRPr="00783716">
        <w:rPr>
          <w:rFonts w:ascii="Palatino Linotype" w:hAnsi="Palatino Linotype" w:cs="Arial"/>
          <w:sz w:val="24"/>
          <w:szCs w:val="24"/>
        </w:rPr>
        <w:t>entrega</w:t>
      </w:r>
      <w:r w:rsidR="0075096F" w:rsidRPr="0075096F">
        <w:rPr>
          <w:rFonts w:ascii="Palatino Linotype" w:hAnsi="Palatino Linotype"/>
          <w:b/>
          <w:bCs/>
          <w:sz w:val="24"/>
          <w:szCs w:val="24"/>
        </w:rPr>
        <w:t xml:space="preserve"> </w:t>
      </w:r>
      <w:r w:rsidR="0075096F">
        <w:rPr>
          <w:rFonts w:ascii="Palatino Linotype" w:hAnsi="Palatino Linotype" w:cs="Arial"/>
          <w:sz w:val="24"/>
          <w:szCs w:val="24"/>
          <w:lang w:val="es-ES_tradnl"/>
        </w:rPr>
        <w:t xml:space="preserve">través del SAIMEX, </w:t>
      </w:r>
      <w:r w:rsidR="0075096F" w:rsidRPr="0075096F">
        <w:rPr>
          <w:rFonts w:ascii="Palatino Linotype" w:hAnsi="Palatino Linotype" w:cs="Arial"/>
          <w:sz w:val="24"/>
          <w:szCs w:val="24"/>
          <w:lang w:val="es-ES_tradnl"/>
        </w:rPr>
        <w:t xml:space="preserve">previa búsqueda exhaustiva y razonable y en versión pública en caso de ser procedente, el o los documentos donde conste lo siguiente: </w:t>
      </w:r>
    </w:p>
    <w:p w:rsidR="0075096F" w:rsidRPr="00800FF0" w:rsidRDefault="0075096F" w:rsidP="00783716">
      <w:pPr>
        <w:spacing w:after="240"/>
        <w:ind w:left="567" w:right="616"/>
        <w:jc w:val="both"/>
        <w:rPr>
          <w:rFonts w:ascii="Palatino Linotype" w:eastAsia="Calibri" w:hAnsi="Palatino Linotype" w:cs="Arial"/>
          <w:i/>
        </w:rPr>
      </w:pPr>
      <w:r w:rsidRPr="00800FF0">
        <w:rPr>
          <w:rFonts w:ascii="Palatino Linotype" w:eastAsia="Calibri" w:hAnsi="Palatino Linotype" w:cs="Arial"/>
          <w:i/>
        </w:rPr>
        <w:t>“Los viáticos pagados a servidores públicos del período comprendido del 11 de septiembre del 2006 al 31 de diciembre de 2014, así como del 1 al 3 de octubre de 2018.</w:t>
      </w:r>
    </w:p>
    <w:p w:rsidR="0075096F" w:rsidRPr="00800FF0" w:rsidRDefault="0075096F" w:rsidP="00783716">
      <w:pPr>
        <w:spacing w:after="240"/>
        <w:ind w:left="567" w:right="616"/>
        <w:jc w:val="both"/>
        <w:rPr>
          <w:rFonts w:ascii="Palatino Linotype" w:hAnsi="Palatino Linotype" w:cs="Arial"/>
          <w:i/>
          <w:color w:val="000000" w:themeColor="text1"/>
        </w:rPr>
      </w:pPr>
      <w:r w:rsidRPr="00800FF0">
        <w:rPr>
          <w:rFonts w:ascii="Palatino Linotype" w:hAnsi="Palatino Linotype" w:cs="Arial"/>
          <w:i/>
          <w:color w:val="000000" w:themeColor="text1"/>
        </w:rPr>
        <w:t xml:space="preserve">Debiendo notificar a </w:t>
      </w:r>
      <w:r w:rsidRPr="00800FF0">
        <w:rPr>
          <w:rFonts w:ascii="Palatino Linotype" w:hAnsi="Palatino Linotype" w:cs="Arial"/>
          <w:b/>
          <w:i/>
          <w:color w:val="000000" w:themeColor="text1"/>
        </w:rPr>
        <w:t>LA RECURRENTE</w:t>
      </w:r>
      <w:r w:rsidRPr="00800FF0">
        <w:rPr>
          <w:rFonts w:ascii="Palatino Linotype" w:hAnsi="Palatino Linotype" w:cs="Arial"/>
          <w:i/>
          <w:color w:val="000000" w:themeColor="text1"/>
        </w:rPr>
        <w:t xml:space="preserve"> el Acuerdo de Clasificación de la </w:t>
      </w:r>
      <w:r w:rsidRPr="00783716">
        <w:rPr>
          <w:rFonts w:ascii="Palatino Linotype" w:eastAsia="Calibri" w:hAnsi="Palatino Linotype" w:cs="Arial"/>
          <w:i/>
        </w:rPr>
        <w:t>información</w:t>
      </w:r>
      <w:r w:rsidRPr="00800FF0">
        <w:rPr>
          <w:rFonts w:ascii="Palatino Linotype" w:hAnsi="Palatino Linotype" w:cs="Arial"/>
          <w:i/>
          <w:color w:val="000000" w:themeColor="text1"/>
        </w:rPr>
        <w:t xml:space="preserve"> que apruebe el Comité de Transparencia con motivo de la versión pública.</w:t>
      </w:r>
    </w:p>
    <w:p w:rsidR="0075096F" w:rsidRPr="00800FF0" w:rsidRDefault="0075096F" w:rsidP="00783716">
      <w:pPr>
        <w:spacing w:after="240"/>
        <w:ind w:left="567" w:right="616"/>
        <w:jc w:val="both"/>
        <w:rPr>
          <w:rFonts w:ascii="Palatino Linotype" w:eastAsia="Calibri" w:hAnsi="Palatino Linotype" w:cs="Arial"/>
          <w:i/>
        </w:rPr>
      </w:pPr>
      <w:r w:rsidRPr="00800FF0">
        <w:rPr>
          <w:rFonts w:ascii="Palatino Linotype" w:eastAsia="Calibri" w:hAnsi="Palatino Linotype" w:cs="Arial"/>
          <w:i/>
        </w:rPr>
        <w:t xml:space="preserve">Para el caso que derivado de la búsqueda exhaustiva y razonable no se localice la información solicitada, </w:t>
      </w:r>
      <w:r w:rsidRPr="00800FF0">
        <w:rPr>
          <w:rFonts w:ascii="Palatino Linotype" w:eastAsia="Calibri" w:hAnsi="Palatino Linotype" w:cs="Arial"/>
          <w:b/>
          <w:i/>
        </w:rPr>
        <w:t>EL SUJETO OBLIGADO</w:t>
      </w:r>
      <w:r w:rsidRPr="00800FF0">
        <w:rPr>
          <w:rFonts w:ascii="Palatino Linotype" w:eastAsia="Calibri" w:hAnsi="Palatino Linotype" w:cs="Arial"/>
          <w:i/>
        </w:rPr>
        <w:t xml:space="preserve"> deberá emitir el Acuerdo de Inexistencia en términos de los artículos 49, fracciones II  y XIII, 169 y 170 de la Ley de Transparencia y Acceso a la Información Pública del Estado de México y Municipios, debiendo notificarlo a </w:t>
      </w:r>
      <w:r w:rsidRPr="00800FF0">
        <w:rPr>
          <w:rFonts w:ascii="Palatino Linotype" w:eastAsia="Calibri" w:hAnsi="Palatino Linotype" w:cs="Arial"/>
          <w:b/>
          <w:i/>
        </w:rPr>
        <w:t>LA</w:t>
      </w:r>
      <w:r w:rsidRPr="00800FF0">
        <w:rPr>
          <w:rFonts w:ascii="Palatino Linotype" w:eastAsia="Calibri" w:hAnsi="Palatino Linotype" w:cs="Arial"/>
          <w:i/>
        </w:rPr>
        <w:t xml:space="preserve"> </w:t>
      </w:r>
      <w:r w:rsidRPr="00800FF0">
        <w:rPr>
          <w:rFonts w:ascii="Palatino Linotype" w:eastAsia="Calibri" w:hAnsi="Palatino Linotype" w:cs="Arial"/>
          <w:b/>
          <w:i/>
        </w:rPr>
        <w:t>RECURRENTE</w:t>
      </w:r>
      <w:r w:rsidRPr="00800FF0">
        <w:rPr>
          <w:rFonts w:ascii="Palatino Linotype" w:eastAsia="Calibri" w:hAnsi="Palatino Linotype" w:cs="Arial"/>
          <w:i/>
        </w:rPr>
        <w:t xml:space="preserve"> al momento de dar cumplim</w:t>
      </w:r>
      <w:r>
        <w:rPr>
          <w:rFonts w:ascii="Palatino Linotype" w:eastAsia="Calibri" w:hAnsi="Palatino Linotype" w:cs="Arial"/>
          <w:i/>
        </w:rPr>
        <w:t>iento a la presente resolución.”</w:t>
      </w:r>
    </w:p>
    <w:p w:rsidR="008A3D2D" w:rsidRDefault="000B7C6E" w:rsidP="00783716">
      <w:pPr>
        <w:pStyle w:val="Prrafodelista"/>
        <w:numPr>
          <w:ilvl w:val="0"/>
          <w:numId w:val="1"/>
        </w:numPr>
        <w:spacing w:after="0" w:line="360" w:lineRule="auto"/>
        <w:ind w:left="0" w:right="-93" w:firstLine="0"/>
        <w:jc w:val="both"/>
        <w:rPr>
          <w:rFonts w:ascii="Palatino Linotype" w:hAnsi="Palatino Linotype" w:cs="Arial"/>
          <w:sz w:val="24"/>
          <w:szCs w:val="24"/>
        </w:rPr>
      </w:pPr>
      <w:r>
        <w:rPr>
          <w:rFonts w:ascii="Palatino Linotype" w:hAnsi="Palatino Linotype" w:cs="Arial"/>
          <w:sz w:val="24"/>
          <w:szCs w:val="24"/>
        </w:rPr>
        <w:lastRenderedPageBreak/>
        <w:t>S</w:t>
      </w:r>
      <w:r w:rsidR="00C7250F" w:rsidRPr="00072966">
        <w:rPr>
          <w:rFonts w:ascii="Palatino Linotype" w:hAnsi="Palatino Linotype" w:cs="Arial"/>
          <w:sz w:val="24"/>
          <w:szCs w:val="24"/>
        </w:rPr>
        <w:t>in embargo, m</w:t>
      </w:r>
      <w:r w:rsidR="0046491C" w:rsidRPr="00072966">
        <w:rPr>
          <w:rFonts w:ascii="Palatino Linotype" w:hAnsi="Palatino Linotype" w:cs="Arial"/>
          <w:sz w:val="24"/>
          <w:szCs w:val="24"/>
        </w:rPr>
        <w:t xml:space="preserve">i </w:t>
      </w:r>
      <w:r w:rsidR="00D33AF9" w:rsidRPr="002E4D49">
        <w:rPr>
          <w:rFonts w:ascii="Palatino Linotype" w:eastAsia="Arial Unicode MS" w:hAnsi="Palatino Linotype" w:cs="Arial"/>
          <w:sz w:val="24"/>
          <w:szCs w:val="24"/>
          <w:bdr w:val="nil"/>
          <w:lang w:val="es-ES_tradnl"/>
        </w:rPr>
        <w:t>voto</w:t>
      </w:r>
      <w:r w:rsidR="0046491C" w:rsidRPr="00072966">
        <w:rPr>
          <w:rFonts w:ascii="Palatino Linotype" w:hAnsi="Palatino Linotype" w:cs="Arial"/>
          <w:sz w:val="24"/>
          <w:szCs w:val="24"/>
        </w:rPr>
        <w:t xml:space="preserve"> particular se deriva del hecho de que se haya invocado la figura de actos consentidos en el presente asunto</w:t>
      </w:r>
      <w:r w:rsidR="00891C13">
        <w:rPr>
          <w:rFonts w:ascii="Palatino Linotype" w:hAnsi="Palatino Linotype" w:cs="Arial"/>
          <w:sz w:val="24"/>
          <w:szCs w:val="24"/>
        </w:rPr>
        <w:t>,</w:t>
      </w:r>
      <w:r w:rsidR="0046491C" w:rsidRPr="00072966">
        <w:rPr>
          <w:rFonts w:ascii="Palatino Linotype" w:hAnsi="Palatino Linotype" w:cs="Arial"/>
          <w:sz w:val="24"/>
          <w:szCs w:val="24"/>
        </w:rPr>
        <w:t xml:space="preserve"> resultando del todo innecesario hacer referencia a dicha figura, lo cual he manifestado en diversas ocasiones señalando que no deben invocarse en el derecho de acceso a la información pública.</w:t>
      </w:r>
    </w:p>
    <w:p w:rsidR="002E4D49" w:rsidRPr="00062A8A" w:rsidRDefault="002E4D49" w:rsidP="00062A8A">
      <w:pPr>
        <w:pStyle w:val="Prrafodelista"/>
        <w:spacing w:after="0" w:line="240" w:lineRule="auto"/>
        <w:ind w:left="0"/>
        <w:jc w:val="both"/>
        <w:rPr>
          <w:rFonts w:ascii="Palatino Linotype" w:hAnsi="Palatino Linotype" w:cs="Arial"/>
          <w:sz w:val="12"/>
          <w:szCs w:val="24"/>
        </w:rPr>
      </w:pPr>
    </w:p>
    <w:p w:rsidR="0046491C" w:rsidRDefault="0046491C" w:rsidP="00850A2F">
      <w:pPr>
        <w:pStyle w:val="Prrafodelista"/>
        <w:numPr>
          <w:ilvl w:val="0"/>
          <w:numId w:val="1"/>
        </w:numPr>
        <w:spacing w:after="0" w:line="360" w:lineRule="auto"/>
        <w:ind w:left="0" w:right="-93" w:firstLine="0"/>
        <w:jc w:val="both"/>
        <w:rPr>
          <w:rFonts w:ascii="Palatino Linotype" w:hAnsi="Palatino Linotype" w:cs="Arial"/>
          <w:sz w:val="24"/>
          <w:szCs w:val="24"/>
        </w:rPr>
      </w:pPr>
      <w:r w:rsidRPr="00072966">
        <w:rPr>
          <w:rFonts w:ascii="Palatino Linotype" w:hAnsi="Palatino Linotype" w:cs="Arial"/>
          <w:sz w:val="24"/>
          <w:szCs w:val="24"/>
        </w:rPr>
        <w:t xml:space="preserve">Por tal </w:t>
      </w:r>
      <w:r w:rsidRPr="002E4D49">
        <w:rPr>
          <w:rFonts w:ascii="Palatino Linotype" w:eastAsia="Arial Unicode MS" w:hAnsi="Palatino Linotype" w:cs="Arial"/>
          <w:sz w:val="24"/>
          <w:szCs w:val="24"/>
          <w:bdr w:val="nil"/>
          <w:lang w:val="es-ES_tradnl"/>
        </w:rPr>
        <w:t>motivo</w:t>
      </w:r>
      <w:r w:rsidRPr="00072966">
        <w:rPr>
          <w:rFonts w:ascii="Palatino Linotype" w:hAnsi="Palatino Linotype" w:cs="Arial"/>
          <w:sz w:val="24"/>
          <w:szCs w:val="24"/>
        </w:rPr>
        <w:t xml:space="preserve"> y en términos de lo señalado por los artículos </w:t>
      </w:r>
      <w:r w:rsidR="00AA49F3" w:rsidRPr="00072966">
        <w:rPr>
          <w:rFonts w:ascii="Palatino Linotype" w:hAnsi="Palatino Linotype" w:cs="Arial"/>
          <w:sz w:val="24"/>
          <w:szCs w:val="24"/>
        </w:rPr>
        <w:t>14</w:t>
      </w:r>
      <w:r w:rsidRPr="00072966">
        <w:rPr>
          <w:rFonts w:ascii="Palatino Linotype" w:hAnsi="Palatino Linotype" w:cs="Arial"/>
          <w:sz w:val="24"/>
          <w:szCs w:val="24"/>
        </w:rPr>
        <w:t xml:space="preserve"> fracción </w:t>
      </w:r>
      <w:r w:rsidR="00AA49F3" w:rsidRPr="00072966">
        <w:rPr>
          <w:rFonts w:ascii="Palatino Linotype" w:hAnsi="Palatino Linotype" w:cs="Arial"/>
          <w:sz w:val="24"/>
          <w:szCs w:val="24"/>
        </w:rPr>
        <w:t>XI</w:t>
      </w:r>
      <w:r w:rsidRPr="00072966">
        <w:rPr>
          <w:rFonts w:ascii="Palatino Linotype" w:hAnsi="Palatino Linotype" w:cs="Arial"/>
          <w:sz w:val="24"/>
          <w:szCs w:val="24"/>
        </w:rPr>
        <w:t xml:space="preserve"> del Reglamento Interior del Instituto de Transparencia y Acceso a la Información Pública del Estado de México y Municipios formulo el presente voto particular. </w:t>
      </w:r>
    </w:p>
    <w:p w:rsidR="00306687" w:rsidRPr="00062A8A" w:rsidRDefault="00306687" w:rsidP="00062A8A">
      <w:pPr>
        <w:pStyle w:val="Prrafodelista"/>
        <w:spacing w:after="0" w:line="240" w:lineRule="auto"/>
        <w:ind w:left="360"/>
        <w:jc w:val="both"/>
        <w:rPr>
          <w:rFonts w:ascii="Palatino Linotype" w:hAnsi="Palatino Linotype" w:cs="Arial"/>
          <w:sz w:val="4"/>
          <w:szCs w:val="24"/>
        </w:rPr>
      </w:pPr>
    </w:p>
    <w:p w:rsidR="0046491C" w:rsidRPr="00072966" w:rsidRDefault="0046491C" w:rsidP="00E34F08">
      <w:pPr>
        <w:pStyle w:val="Ttulo1"/>
        <w:numPr>
          <w:ilvl w:val="0"/>
          <w:numId w:val="12"/>
        </w:numPr>
        <w:spacing w:line="360" w:lineRule="auto"/>
        <w:rPr>
          <w:rFonts w:ascii="Palatino Linotype" w:hAnsi="Palatino Linotype"/>
          <w:b/>
          <w:color w:val="auto"/>
          <w:sz w:val="24"/>
          <w:szCs w:val="24"/>
        </w:rPr>
      </w:pPr>
      <w:bookmarkStart w:id="2" w:name="_Toc534984479"/>
      <w:r w:rsidRPr="00072966">
        <w:rPr>
          <w:rFonts w:ascii="Palatino Linotype" w:hAnsi="Palatino Linotype"/>
          <w:b/>
          <w:color w:val="auto"/>
          <w:sz w:val="24"/>
          <w:szCs w:val="24"/>
        </w:rPr>
        <w:t>De los requerimientos planteados en el recurso de revisión.</w:t>
      </w:r>
      <w:bookmarkEnd w:id="2"/>
    </w:p>
    <w:p w:rsidR="0046491C" w:rsidRPr="00306687" w:rsidRDefault="0046491C" w:rsidP="00062A8A">
      <w:pPr>
        <w:pStyle w:val="Prrafodelista"/>
        <w:spacing w:after="0" w:line="240" w:lineRule="auto"/>
        <w:ind w:left="1080"/>
        <w:jc w:val="both"/>
        <w:rPr>
          <w:rFonts w:ascii="Palatino Linotype" w:hAnsi="Palatino Linotype" w:cs="Arial"/>
          <w:sz w:val="18"/>
          <w:szCs w:val="24"/>
        </w:rPr>
      </w:pPr>
    </w:p>
    <w:p w:rsidR="00DF6665" w:rsidRPr="00850A2F" w:rsidRDefault="00D11CB8" w:rsidP="00850A2F">
      <w:pPr>
        <w:pStyle w:val="Prrafodelista"/>
        <w:numPr>
          <w:ilvl w:val="0"/>
          <w:numId w:val="1"/>
        </w:numPr>
        <w:spacing w:after="0" w:line="360" w:lineRule="auto"/>
        <w:ind w:left="0" w:right="-93" w:firstLine="0"/>
        <w:jc w:val="both"/>
        <w:rPr>
          <w:rFonts w:ascii="Palatino Linotype" w:eastAsia="Times New Roman" w:hAnsi="Palatino Linotype" w:cs="Times New Roman"/>
          <w:i/>
          <w:sz w:val="24"/>
          <w:szCs w:val="24"/>
          <w:lang w:val="es-ES_tradnl" w:eastAsia="es-ES"/>
        </w:rPr>
      </w:pPr>
      <w:r w:rsidRPr="00850A2F">
        <w:rPr>
          <w:rFonts w:ascii="Palatino Linotype" w:hAnsi="Palatino Linotype" w:cs="Arial"/>
          <w:sz w:val="24"/>
          <w:szCs w:val="24"/>
        </w:rPr>
        <w:t>El</w:t>
      </w:r>
      <w:r w:rsidR="008E1DCC" w:rsidRPr="00850A2F">
        <w:rPr>
          <w:rFonts w:ascii="Palatino Linotype" w:hAnsi="Palatino Linotype" w:cs="Arial"/>
          <w:sz w:val="24"/>
          <w:szCs w:val="24"/>
        </w:rPr>
        <w:t xml:space="preserve"> particular</w:t>
      </w:r>
      <w:r w:rsidR="00DF6665" w:rsidRPr="00850A2F">
        <w:rPr>
          <w:rFonts w:ascii="Palatino Linotype" w:hAnsi="Palatino Linotype" w:cs="Arial"/>
          <w:sz w:val="24"/>
          <w:szCs w:val="24"/>
        </w:rPr>
        <w:t xml:space="preserve"> solicitó que el Sujeto Obligado le remitiera la siguiente información: </w:t>
      </w:r>
    </w:p>
    <w:p w:rsidR="008A3D2D" w:rsidRDefault="00460A07" w:rsidP="00850A2F">
      <w:pPr>
        <w:spacing w:after="240"/>
        <w:ind w:left="567" w:right="616"/>
        <w:jc w:val="both"/>
        <w:rPr>
          <w:rFonts w:ascii="Palatino Linotype" w:hAnsi="Palatino Linotype"/>
          <w:i/>
          <w:color w:val="000000"/>
        </w:rPr>
      </w:pPr>
      <w:r w:rsidRPr="00460A07">
        <w:rPr>
          <w:rFonts w:ascii="Palatino Linotype" w:hAnsi="Palatino Linotype"/>
          <w:i/>
          <w:color w:val="000000"/>
        </w:rPr>
        <w:t xml:space="preserve">“Histórico de </w:t>
      </w:r>
      <w:r w:rsidRPr="00850A2F">
        <w:rPr>
          <w:rFonts w:ascii="Palatino Linotype" w:eastAsia="Calibri" w:hAnsi="Palatino Linotype" w:cs="Arial"/>
          <w:i/>
        </w:rPr>
        <w:t>viáticos</w:t>
      </w:r>
      <w:r w:rsidRPr="00460A07">
        <w:rPr>
          <w:rFonts w:ascii="Palatino Linotype" w:hAnsi="Palatino Linotype"/>
          <w:i/>
          <w:color w:val="000000"/>
        </w:rPr>
        <w:t xml:space="preserve"> pagados a servidores públicos” (Sic)</w:t>
      </w:r>
    </w:p>
    <w:p w:rsidR="00062A8A" w:rsidRPr="00062A8A" w:rsidRDefault="00062A8A" w:rsidP="00062A8A">
      <w:pPr>
        <w:spacing w:after="0" w:line="240" w:lineRule="auto"/>
        <w:ind w:left="567" w:right="616"/>
        <w:jc w:val="both"/>
        <w:rPr>
          <w:rFonts w:ascii="Palatino Linotype" w:hAnsi="Palatino Linotype"/>
          <w:i/>
          <w:color w:val="000000"/>
          <w:sz w:val="2"/>
        </w:rPr>
      </w:pPr>
    </w:p>
    <w:p w:rsidR="00460A07" w:rsidRPr="00460A07" w:rsidRDefault="00AE4797" w:rsidP="00850A2F">
      <w:pPr>
        <w:pStyle w:val="Prrafodelista"/>
        <w:numPr>
          <w:ilvl w:val="0"/>
          <w:numId w:val="1"/>
        </w:numPr>
        <w:spacing w:after="0" w:line="360" w:lineRule="auto"/>
        <w:ind w:left="0" w:right="-93" w:firstLine="0"/>
        <w:jc w:val="both"/>
        <w:rPr>
          <w:rFonts w:ascii="Palatino Linotype" w:eastAsia="Times New Roman" w:hAnsi="Palatino Linotype" w:cs="Times New Roman"/>
          <w:i/>
          <w:sz w:val="18"/>
          <w:szCs w:val="24"/>
          <w:lang w:val="es-ES_tradnl" w:eastAsia="es-ES"/>
        </w:rPr>
      </w:pPr>
      <w:r w:rsidRPr="0042345D">
        <w:rPr>
          <w:rFonts w:ascii="Palatino Linotype" w:hAnsi="Palatino Linotype" w:cs="Arial"/>
          <w:sz w:val="24"/>
          <w:szCs w:val="24"/>
        </w:rPr>
        <w:t xml:space="preserve">El </w:t>
      </w:r>
      <w:r w:rsidRPr="002E4D49">
        <w:rPr>
          <w:rFonts w:ascii="Palatino Linotype" w:eastAsia="Arial Unicode MS" w:hAnsi="Palatino Linotype" w:cs="Arial"/>
          <w:sz w:val="24"/>
          <w:szCs w:val="24"/>
          <w:bdr w:val="nil"/>
          <w:lang w:val="es-ES_tradnl"/>
        </w:rPr>
        <w:t>Sujeto</w:t>
      </w:r>
      <w:r w:rsidRPr="0042345D">
        <w:rPr>
          <w:rFonts w:ascii="Palatino Linotype" w:hAnsi="Palatino Linotype" w:cs="Arial"/>
          <w:sz w:val="24"/>
          <w:szCs w:val="24"/>
        </w:rPr>
        <w:t xml:space="preserve"> Obligado </w:t>
      </w:r>
      <w:r w:rsidR="00C7250F" w:rsidRPr="0042345D">
        <w:rPr>
          <w:rFonts w:ascii="Palatino Linotype" w:hAnsi="Palatino Linotype" w:cs="Arial"/>
          <w:sz w:val="24"/>
          <w:szCs w:val="24"/>
        </w:rPr>
        <w:t>en respuesta</w:t>
      </w:r>
      <w:r w:rsidR="00460A07">
        <w:rPr>
          <w:rFonts w:ascii="Palatino Linotype" w:hAnsi="Palatino Linotype" w:cs="Arial"/>
          <w:sz w:val="24"/>
          <w:szCs w:val="24"/>
        </w:rPr>
        <w:t xml:space="preserve"> señaló en la parte que nos interesa lo siguiente: </w:t>
      </w:r>
    </w:p>
    <w:p w:rsidR="00460A07" w:rsidRDefault="00460A07" w:rsidP="00850A2F">
      <w:pPr>
        <w:spacing w:after="0" w:line="360" w:lineRule="auto"/>
        <w:ind w:left="567" w:right="616"/>
        <w:jc w:val="both"/>
        <w:rPr>
          <w:rFonts w:ascii="Palatino Linotype" w:hAnsi="Palatino Linotype" w:cs="Arial"/>
          <w:i/>
        </w:rPr>
      </w:pPr>
      <w:r>
        <w:rPr>
          <w:rFonts w:ascii="Palatino Linotype" w:hAnsi="Palatino Linotype" w:cs="Arial"/>
          <w:i/>
        </w:rPr>
        <w:t>“…</w:t>
      </w:r>
    </w:p>
    <w:p w:rsidR="00460A07" w:rsidRDefault="00460A07" w:rsidP="00062A8A">
      <w:pPr>
        <w:spacing w:after="0" w:line="360" w:lineRule="auto"/>
        <w:ind w:left="567" w:right="616"/>
        <w:jc w:val="both"/>
        <w:rPr>
          <w:rFonts w:ascii="Palatino Linotype" w:hAnsi="Palatino Linotype" w:cs="Arial"/>
          <w:i/>
        </w:rPr>
      </w:pPr>
      <w:r w:rsidRPr="00800FF0">
        <w:rPr>
          <w:rFonts w:ascii="Palatino Linotype" w:hAnsi="Palatino Linotype" w:cs="Arial"/>
          <w:i/>
        </w:rPr>
        <w:t xml:space="preserve">En atención a la solicitud de información registrada con el folio número 01273/UPVT/IP/2018, que realizó el 03 de octubre del año en curso, sírvase encontrar en archivo adjunto copia digitalizada en formato pdf del oficio emitido por los servidores públicos </w:t>
      </w:r>
      <w:r w:rsidRPr="00850A2F">
        <w:rPr>
          <w:rFonts w:ascii="Palatino Linotype" w:eastAsia="Calibri" w:hAnsi="Palatino Linotype" w:cs="Arial"/>
          <w:i/>
        </w:rPr>
        <w:t>habilitados</w:t>
      </w:r>
      <w:r w:rsidRPr="00800FF0">
        <w:rPr>
          <w:rFonts w:ascii="Palatino Linotype" w:hAnsi="Palatino Linotype" w:cs="Arial"/>
          <w:i/>
        </w:rPr>
        <w:t xml:space="preserve"> de la Dirección de Administración y Finanzas y el Departamento de Recursos Financieros,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460A07" w:rsidRPr="00800FF0" w:rsidRDefault="00460A07" w:rsidP="00062A8A">
      <w:pPr>
        <w:spacing w:after="0" w:line="360" w:lineRule="auto"/>
        <w:ind w:left="567" w:right="616"/>
        <w:jc w:val="both"/>
        <w:rPr>
          <w:rFonts w:ascii="Palatino Linotype" w:hAnsi="Palatino Linotype" w:cs="Arial"/>
          <w:i/>
        </w:rPr>
      </w:pPr>
      <w:r>
        <w:rPr>
          <w:rFonts w:ascii="Palatino Linotype" w:hAnsi="Palatino Linotype" w:cs="Arial"/>
          <w:i/>
        </w:rPr>
        <w:t>…”</w:t>
      </w:r>
    </w:p>
    <w:p w:rsidR="0065200E" w:rsidRPr="00062A8A" w:rsidRDefault="0065200E" w:rsidP="00062A8A">
      <w:pPr>
        <w:spacing w:after="0" w:line="360" w:lineRule="auto"/>
        <w:ind w:left="567" w:right="616"/>
        <w:jc w:val="both"/>
        <w:rPr>
          <w:rFonts w:ascii="Palatino Linotype" w:hAnsi="Palatino Linotype" w:cs="Arial"/>
          <w:sz w:val="24"/>
          <w:szCs w:val="24"/>
        </w:rPr>
      </w:pPr>
      <w:r w:rsidRPr="00062A8A">
        <w:rPr>
          <w:rFonts w:ascii="Palatino Linotype" w:hAnsi="Palatino Linotype" w:cs="Arial"/>
        </w:rPr>
        <w:lastRenderedPageBreak/>
        <w:t>Anexando</w:t>
      </w:r>
      <w:r w:rsidRPr="00062A8A">
        <w:rPr>
          <w:rFonts w:ascii="Palatino Linotype" w:hAnsi="Palatino Linotype" w:cs="Arial"/>
          <w:sz w:val="24"/>
          <w:szCs w:val="24"/>
        </w:rPr>
        <w:t xml:space="preserve"> los documentos denominados </w:t>
      </w:r>
      <w:proofErr w:type="spellStart"/>
      <w:r w:rsidRPr="00062A8A">
        <w:rPr>
          <w:rFonts w:ascii="Palatino Linotype" w:hAnsi="Palatino Linotype" w:cs="Arial"/>
          <w:i/>
          <w:sz w:val="24"/>
          <w:szCs w:val="24"/>
        </w:rPr>
        <w:t>320.pdf</w:t>
      </w:r>
      <w:proofErr w:type="spellEnd"/>
      <w:r w:rsidRPr="00062A8A">
        <w:rPr>
          <w:rFonts w:ascii="Palatino Linotype" w:hAnsi="Palatino Linotype" w:cs="Arial"/>
          <w:i/>
          <w:sz w:val="24"/>
          <w:szCs w:val="24"/>
        </w:rPr>
        <w:t xml:space="preserve">, </w:t>
      </w:r>
      <w:proofErr w:type="spellStart"/>
      <w:r w:rsidRPr="00062A8A">
        <w:rPr>
          <w:rFonts w:ascii="Palatino Linotype" w:hAnsi="Palatino Linotype" w:cs="Arial"/>
          <w:i/>
          <w:sz w:val="24"/>
          <w:szCs w:val="24"/>
        </w:rPr>
        <w:t>VIATICOS</w:t>
      </w:r>
      <w:proofErr w:type="spellEnd"/>
      <w:r w:rsidRPr="00062A8A">
        <w:rPr>
          <w:rFonts w:ascii="Palatino Linotype" w:hAnsi="Palatino Linotype" w:cs="Arial"/>
          <w:i/>
          <w:sz w:val="24"/>
          <w:szCs w:val="24"/>
        </w:rPr>
        <w:t xml:space="preserve"> </w:t>
      </w:r>
      <w:proofErr w:type="spellStart"/>
      <w:r w:rsidRPr="00062A8A">
        <w:rPr>
          <w:rFonts w:ascii="Palatino Linotype" w:hAnsi="Palatino Linotype" w:cs="Arial"/>
          <w:i/>
          <w:sz w:val="24"/>
          <w:szCs w:val="24"/>
        </w:rPr>
        <w:t>2018.pdf</w:t>
      </w:r>
      <w:proofErr w:type="spellEnd"/>
      <w:r w:rsidRPr="00062A8A">
        <w:rPr>
          <w:rFonts w:ascii="Palatino Linotype" w:hAnsi="Palatino Linotype" w:cs="Arial"/>
          <w:i/>
          <w:sz w:val="24"/>
          <w:szCs w:val="24"/>
        </w:rPr>
        <w:t xml:space="preserve">, </w:t>
      </w:r>
      <w:proofErr w:type="spellStart"/>
      <w:r w:rsidRPr="00062A8A">
        <w:rPr>
          <w:rFonts w:ascii="Palatino Linotype" w:hAnsi="Palatino Linotype" w:cs="Arial"/>
          <w:i/>
          <w:sz w:val="24"/>
          <w:szCs w:val="24"/>
        </w:rPr>
        <w:t>saimex</w:t>
      </w:r>
      <w:proofErr w:type="spellEnd"/>
      <w:r w:rsidRPr="00062A8A">
        <w:rPr>
          <w:rFonts w:ascii="Palatino Linotype" w:hAnsi="Palatino Linotype" w:cs="Arial"/>
          <w:i/>
          <w:sz w:val="24"/>
          <w:szCs w:val="24"/>
        </w:rPr>
        <w:t xml:space="preserve"> </w:t>
      </w:r>
      <w:proofErr w:type="spellStart"/>
      <w:r w:rsidRPr="00062A8A">
        <w:rPr>
          <w:rFonts w:ascii="Palatino Linotype" w:hAnsi="Palatino Linotype" w:cs="Arial"/>
          <w:i/>
          <w:sz w:val="24"/>
          <w:szCs w:val="24"/>
        </w:rPr>
        <w:t>1273.pdf</w:t>
      </w:r>
      <w:proofErr w:type="spellEnd"/>
      <w:r w:rsidRPr="00062A8A">
        <w:rPr>
          <w:rFonts w:ascii="Palatino Linotype" w:hAnsi="Palatino Linotype" w:cs="Arial"/>
          <w:i/>
          <w:sz w:val="24"/>
          <w:szCs w:val="24"/>
        </w:rPr>
        <w:t xml:space="preserve"> y </w:t>
      </w:r>
      <w:proofErr w:type="spellStart"/>
      <w:r w:rsidRPr="00062A8A">
        <w:rPr>
          <w:rFonts w:ascii="Palatino Linotype" w:hAnsi="Palatino Linotype" w:cs="Arial"/>
          <w:i/>
          <w:sz w:val="24"/>
          <w:szCs w:val="24"/>
        </w:rPr>
        <w:t>1273.pdf</w:t>
      </w:r>
      <w:proofErr w:type="spellEnd"/>
      <w:r w:rsidRPr="00062A8A">
        <w:rPr>
          <w:rFonts w:ascii="Palatino Linotype" w:hAnsi="Palatino Linotype" w:cs="Arial"/>
          <w:sz w:val="24"/>
          <w:szCs w:val="24"/>
        </w:rPr>
        <w:t xml:space="preserve">, </w:t>
      </w:r>
      <w:r w:rsidR="00453F0A" w:rsidRPr="00062A8A">
        <w:rPr>
          <w:rFonts w:ascii="Palatino Linotype" w:hAnsi="Palatino Linotype" w:cs="Arial"/>
          <w:sz w:val="24"/>
          <w:szCs w:val="24"/>
        </w:rPr>
        <w:t xml:space="preserve">información que medularmente </w:t>
      </w:r>
      <w:r w:rsidRPr="00062A8A">
        <w:rPr>
          <w:rFonts w:ascii="Palatino Linotype" w:hAnsi="Palatino Linotype" w:cs="Arial"/>
          <w:sz w:val="24"/>
          <w:szCs w:val="24"/>
        </w:rPr>
        <w:t xml:space="preserve">consistente en lo siguiente: </w:t>
      </w:r>
    </w:p>
    <w:p w:rsidR="0065200E" w:rsidRPr="00800FF0" w:rsidRDefault="0065200E" w:rsidP="0065200E">
      <w:pPr>
        <w:spacing w:after="0" w:line="240" w:lineRule="auto"/>
        <w:ind w:right="49"/>
        <w:jc w:val="center"/>
        <w:rPr>
          <w:rFonts w:ascii="Palatino Linotype" w:hAnsi="Palatino Linotype" w:cs="Arial"/>
          <w:b/>
          <w:i/>
        </w:rPr>
      </w:pPr>
      <w:r w:rsidRPr="00800FF0">
        <w:rPr>
          <w:noProof/>
          <w:lang w:eastAsia="es-MX"/>
        </w:rPr>
        <w:drawing>
          <wp:inline distT="0" distB="0" distL="0" distR="0" wp14:anchorId="39B0BC2E" wp14:editId="4C30145D">
            <wp:extent cx="5576021" cy="4385761"/>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510" t="28274" r="27066" b="9728"/>
                    <a:stretch/>
                  </pic:blipFill>
                  <pic:spPr bwMode="auto">
                    <a:xfrm>
                      <a:off x="0" y="0"/>
                      <a:ext cx="5598949" cy="4403795"/>
                    </a:xfrm>
                    <a:prstGeom prst="rect">
                      <a:avLst/>
                    </a:prstGeom>
                    <a:ln>
                      <a:noFill/>
                    </a:ln>
                    <a:extLst>
                      <a:ext uri="{53640926-AAD7-44D8-BBD7-CCE9431645EC}">
                        <a14:shadowObscured xmlns:a14="http://schemas.microsoft.com/office/drawing/2010/main"/>
                      </a:ext>
                    </a:extLst>
                  </pic:spPr>
                </pic:pic>
              </a:graphicData>
            </a:graphic>
          </wp:inline>
        </w:drawing>
      </w:r>
    </w:p>
    <w:p w:rsidR="0065200E" w:rsidRDefault="00453F0A" w:rsidP="002E4D49">
      <w:pPr>
        <w:pStyle w:val="Prrafodelista"/>
        <w:spacing w:before="240" w:line="360" w:lineRule="auto"/>
        <w:ind w:left="-142"/>
        <w:jc w:val="center"/>
        <w:rPr>
          <w:rFonts w:ascii="Palatino Linotype" w:eastAsia="Times New Roman" w:hAnsi="Palatino Linotype" w:cs="Times New Roman"/>
          <w:i/>
          <w:szCs w:val="24"/>
          <w:lang w:val="es-ES_tradnl" w:eastAsia="es-ES"/>
        </w:rPr>
      </w:pPr>
      <w:r>
        <w:rPr>
          <w:noProof/>
          <w:lang w:eastAsia="es-MX"/>
        </w:rPr>
        <w:drawing>
          <wp:inline distT="0" distB="0" distL="0" distR="0" wp14:anchorId="3D9CE075" wp14:editId="1E0A0679">
            <wp:extent cx="5277302" cy="138589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25" t="14199" r="30633" b="68737"/>
                    <a:stretch/>
                  </pic:blipFill>
                  <pic:spPr bwMode="auto">
                    <a:xfrm>
                      <a:off x="0" y="0"/>
                      <a:ext cx="5353214" cy="1405828"/>
                    </a:xfrm>
                    <a:prstGeom prst="rect">
                      <a:avLst/>
                    </a:prstGeom>
                    <a:ln>
                      <a:noFill/>
                    </a:ln>
                    <a:extLst>
                      <a:ext uri="{53640926-AAD7-44D8-BBD7-CCE9431645EC}">
                        <a14:shadowObscured xmlns:a14="http://schemas.microsoft.com/office/drawing/2010/main"/>
                      </a:ext>
                    </a:extLst>
                  </pic:spPr>
                </pic:pic>
              </a:graphicData>
            </a:graphic>
          </wp:inline>
        </w:drawing>
      </w:r>
    </w:p>
    <w:p w:rsidR="00FC2009" w:rsidRPr="00FC2009" w:rsidRDefault="0046491C" w:rsidP="00062A8A">
      <w:pPr>
        <w:pStyle w:val="Prrafodelista"/>
        <w:numPr>
          <w:ilvl w:val="0"/>
          <w:numId w:val="1"/>
        </w:numPr>
        <w:spacing w:after="0" w:line="360" w:lineRule="auto"/>
        <w:ind w:left="0" w:right="-93" w:firstLine="0"/>
        <w:jc w:val="both"/>
        <w:rPr>
          <w:rFonts w:ascii="Palatino Linotype" w:hAnsi="Palatino Linotype" w:cs="Arial"/>
          <w:i/>
          <w:sz w:val="24"/>
          <w:szCs w:val="24"/>
          <w:lang w:val="es-ES"/>
        </w:rPr>
      </w:pPr>
      <w:r w:rsidRPr="0095525C">
        <w:rPr>
          <w:rFonts w:ascii="Palatino Linotype" w:hAnsi="Palatino Linotype" w:cs="Arial"/>
          <w:sz w:val="24"/>
          <w:szCs w:val="24"/>
        </w:rPr>
        <w:lastRenderedPageBreak/>
        <w:t xml:space="preserve">En ese </w:t>
      </w:r>
      <w:r w:rsidRPr="00062A8A">
        <w:rPr>
          <w:rFonts w:ascii="Palatino Linotype" w:eastAsia="Arial Unicode MS" w:hAnsi="Palatino Linotype" w:cs="Arial"/>
          <w:sz w:val="24"/>
          <w:szCs w:val="24"/>
          <w:bdr w:val="nil"/>
          <w:lang w:val="es-ES_tradnl"/>
        </w:rPr>
        <w:t>sentido</w:t>
      </w:r>
      <w:r w:rsidRPr="0095525C">
        <w:rPr>
          <w:rFonts w:ascii="Palatino Linotype" w:hAnsi="Palatino Linotype" w:cs="Arial"/>
          <w:sz w:val="24"/>
          <w:szCs w:val="24"/>
        </w:rPr>
        <w:t xml:space="preserve">, </w:t>
      </w:r>
      <w:r w:rsidR="00FC2009">
        <w:rPr>
          <w:rFonts w:ascii="Palatino Linotype" w:hAnsi="Palatino Linotype" w:cs="Arial"/>
          <w:sz w:val="24"/>
          <w:szCs w:val="24"/>
        </w:rPr>
        <w:t>el</w:t>
      </w:r>
      <w:r w:rsidR="00AE4797" w:rsidRPr="0095525C">
        <w:rPr>
          <w:rFonts w:ascii="Palatino Linotype" w:hAnsi="Palatino Linotype" w:cs="Arial"/>
          <w:sz w:val="24"/>
          <w:szCs w:val="24"/>
        </w:rPr>
        <w:t xml:space="preserve"> particular </w:t>
      </w:r>
      <w:r w:rsidR="00FC03CA">
        <w:rPr>
          <w:rFonts w:ascii="Palatino Linotype" w:hAnsi="Palatino Linotype" w:cs="Arial"/>
          <w:sz w:val="24"/>
          <w:szCs w:val="24"/>
        </w:rPr>
        <w:t xml:space="preserve">en su recurso de revisión </w:t>
      </w:r>
      <w:r w:rsidR="00AE4797" w:rsidRPr="0095525C">
        <w:rPr>
          <w:rFonts w:ascii="Palatino Linotype" w:hAnsi="Palatino Linotype" w:cs="Arial"/>
          <w:sz w:val="24"/>
          <w:szCs w:val="24"/>
        </w:rPr>
        <w:t>se</w:t>
      </w:r>
      <w:r w:rsidR="0095525C" w:rsidRPr="0095525C">
        <w:rPr>
          <w:rFonts w:ascii="Palatino Linotype" w:hAnsi="Palatino Linotype" w:cs="Arial"/>
          <w:sz w:val="24"/>
          <w:szCs w:val="24"/>
        </w:rPr>
        <w:t>ñal</w:t>
      </w:r>
      <w:r w:rsidR="00DC63EE">
        <w:rPr>
          <w:rFonts w:ascii="Palatino Linotype" w:hAnsi="Palatino Linotype" w:cs="Arial"/>
          <w:sz w:val="24"/>
          <w:szCs w:val="24"/>
        </w:rPr>
        <w:t>ó</w:t>
      </w:r>
      <w:r w:rsidR="0095525C" w:rsidRPr="0095525C">
        <w:rPr>
          <w:rFonts w:ascii="Palatino Linotype" w:hAnsi="Palatino Linotype" w:cs="Arial"/>
          <w:sz w:val="24"/>
          <w:szCs w:val="24"/>
        </w:rPr>
        <w:t xml:space="preserve"> </w:t>
      </w:r>
      <w:r w:rsidR="00FC03CA">
        <w:rPr>
          <w:rFonts w:ascii="Palatino Linotype" w:hAnsi="Palatino Linotype" w:cs="Arial"/>
          <w:sz w:val="24"/>
          <w:szCs w:val="24"/>
        </w:rPr>
        <w:t xml:space="preserve">lo siguiente: </w:t>
      </w:r>
    </w:p>
    <w:p w:rsidR="00FC2009" w:rsidRPr="00D04234" w:rsidRDefault="00FC2009" w:rsidP="00453F0A">
      <w:pPr>
        <w:ind w:left="709"/>
        <w:jc w:val="both"/>
        <w:rPr>
          <w:rFonts w:ascii="Palatino Linotype" w:hAnsi="Palatino Linotype" w:cs="Arial"/>
          <w:b/>
          <w:sz w:val="24"/>
          <w:szCs w:val="24"/>
        </w:rPr>
      </w:pPr>
      <w:r w:rsidRPr="00D04234">
        <w:rPr>
          <w:rFonts w:ascii="Palatino Linotype" w:hAnsi="Palatino Linotype" w:cs="Arial"/>
          <w:b/>
          <w:sz w:val="24"/>
          <w:szCs w:val="24"/>
        </w:rPr>
        <w:t>Acto Impugnado:</w:t>
      </w:r>
    </w:p>
    <w:p w:rsidR="00FC2009" w:rsidRPr="00D04234" w:rsidRDefault="00A10B30" w:rsidP="00FC03CA">
      <w:pPr>
        <w:spacing w:line="240" w:lineRule="auto"/>
        <w:ind w:left="1134" w:right="850"/>
        <w:jc w:val="both"/>
        <w:rPr>
          <w:rFonts w:ascii="Palatino Linotype" w:hAnsi="Palatino Linotype" w:cs="Arial"/>
          <w:i/>
        </w:rPr>
      </w:pPr>
      <w:r w:rsidRPr="00A10B30">
        <w:rPr>
          <w:rFonts w:ascii="Palatino Linotype" w:hAnsi="Palatino Linotype" w:cs="Arial"/>
          <w:i/>
        </w:rPr>
        <w:t>“</w:t>
      </w:r>
      <w:r w:rsidR="00453F0A" w:rsidRPr="00453F0A">
        <w:rPr>
          <w:rFonts w:ascii="Palatino Linotype" w:hAnsi="Palatino Linotype" w:cs="Arial"/>
          <w:i/>
        </w:rPr>
        <w:t>“Niegan información” (Sic</w:t>
      </w:r>
      <w:r w:rsidR="00453F0A">
        <w:rPr>
          <w:rFonts w:ascii="Palatino Linotype" w:hAnsi="Palatino Linotype" w:cs="Arial"/>
          <w:i/>
        </w:rPr>
        <w:t>)</w:t>
      </w:r>
    </w:p>
    <w:p w:rsidR="00FC2009" w:rsidRPr="00BE6D77" w:rsidRDefault="00FC2009" w:rsidP="00FC03CA">
      <w:pPr>
        <w:spacing w:before="240"/>
        <w:ind w:left="709"/>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FC2009" w:rsidRPr="004657BE" w:rsidRDefault="00FC2009" w:rsidP="00FC03CA">
      <w:pPr>
        <w:spacing w:line="240" w:lineRule="auto"/>
        <w:ind w:left="1134" w:right="850"/>
        <w:jc w:val="both"/>
        <w:rPr>
          <w:rFonts w:ascii="Palatino Linotype" w:hAnsi="Palatino Linotype" w:cs="Arial"/>
          <w:i/>
        </w:rPr>
      </w:pPr>
      <w:r w:rsidRPr="004657BE">
        <w:rPr>
          <w:rFonts w:ascii="Palatino Linotype" w:hAnsi="Palatino Linotype" w:cs="Arial"/>
          <w:i/>
        </w:rPr>
        <w:t>“</w:t>
      </w:r>
      <w:r w:rsidR="00213D56" w:rsidRPr="00213D56">
        <w:rPr>
          <w:rFonts w:ascii="Palatino Linotype" w:hAnsi="Palatino Linotype" w:cs="Arial"/>
          <w:i/>
        </w:rPr>
        <w:t>No es histórico</w:t>
      </w:r>
      <w:proofErr w:type="gramStart"/>
      <w:r w:rsidR="00A10B30">
        <w:rPr>
          <w:rFonts w:ascii="Palatino Linotype" w:hAnsi="Palatino Linotype" w:cs="Arial"/>
          <w:i/>
        </w:rPr>
        <w:t>”</w:t>
      </w:r>
      <w:r w:rsidRPr="004657BE">
        <w:rPr>
          <w:rFonts w:ascii="Palatino Linotype" w:hAnsi="Palatino Linotype" w:cs="Arial"/>
          <w:i/>
        </w:rPr>
        <w:t>(</w:t>
      </w:r>
      <w:proofErr w:type="gramEnd"/>
      <w:r w:rsidRPr="004657BE">
        <w:rPr>
          <w:rFonts w:ascii="Palatino Linotype" w:hAnsi="Palatino Linotype" w:cs="Arial"/>
          <w:i/>
        </w:rPr>
        <w:t>Sic)</w:t>
      </w:r>
    </w:p>
    <w:p w:rsidR="00213D56" w:rsidRPr="002E4D49" w:rsidRDefault="00213D56" w:rsidP="00062A8A">
      <w:pPr>
        <w:pStyle w:val="Prrafodelista"/>
        <w:numPr>
          <w:ilvl w:val="0"/>
          <w:numId w:val="1"/>
        </w:numPr>
        <w:spacing w:after="0" w:line="360" w:lineRule="auto"/>
        <w:ind w:left="0" w:right="-93" w:firstLine="0"/>
        <w:jc w:val="both"/>
        <w:rPr>
          <w:rFonts w:ascii="Palatino Linotype" w:hAnsi="Palatino Linotype" w:cs="Arial"/>
          <w:i/>
          <w:sz w:val="24"/>
          <w:szCs w:val="24"/>
          <w:lang w:val="es-ES"/>
        </w:rPr>
      </w:pPr>
      <w:r>
        <w:rPr>
          <w:rFonts w:ascii="Palatino Linotype" w:hAnsi="Palatino Linotype" w:cs="Arial"/>
          <w:sz w:val="24"/>
          <w:szCs w:val="24"/>
        </w:rPr>
        <w:t xml:space="preserve">Posteriormente, el Sujeto Obligado en su informe justificado señaló en la parte medular lo siguiente: </w:t>
      </w:r>
    </w:p>
    <w:p w:rsidR="002E4D49" w:rsidRPr="002E4D49" w:rsidRDefault="002E4D49" w:rsidP="002E4D49">
      <w:pPr>
        <w:pStyle w:val="Prrafodelista"/>
        <w:spacing w:after="0" w:line="240" w:lineRule="auto"/>
        <w:ind w:left="0"/>
        <w:jc w:val="both"/>
        <w:rPr>
          <w:rFonts w:ascii="Palatino Linotype" w:hAnsi="Palatino Linotype" w:cs="Arial"/>
          <w:i/>
          <w:sz w:val="14"/>
          <w:szCs w:val="24"/>
          <w:lang w:val="es-ES"/>
        </w:rPr>
      </w:pPr>
    </w:p>
    <w:p w:rsidR="00213D56" w:rsidRDefault="00213D56" w:rsidP="00306687">
      <w:pPr>
        <w:pStyle w:val="Prrafodelista"/>
        <w:spacing w:before="240" w:line="360" w:lineRule="auto"/>
        <w:ind w:left="142" w:right="49"/>
        <w:jc w:val="center"/>
        <w:rPr>
          <w:rFonts w:ascii="Palatino Linotype" w:hAnsi="Palatino Linotype" w:cs="Arial"/>
          <w:sz w:val="24"/>
          <w:szCs w:val="24"/>
        </w:rPr>
      </w:pPr>
      <w:r>
        <w:rPr>
          <w:noProof/>
          <w:lang w:eastAsia="es-MX"/>
        </w:rPr>
        <w:drawing>
          <wp:inline distT="0" distB="0" distL="0" distR="0" wp14:anchorId="00CBA901" wp14:editId="4793830E">
            <wp:extent cx="5602709" cy="253313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05" t="30832" r="14253" b="28867"/>
                    <a:stretch/>
                  </pic:blipFill>
                  <pic:spPr bwMode="auto">
                    <a:xfrm>
                      <a:off x="0" y="0"/>
                      <a:ext cx="5666749" cy="2562089"/>
                    </a:xfrm>
                    <a:prstGeom prst="rect">
                      <a:avLst/>
                    </a:prstGeom>
                    <a:ln>
                      <a:noFill/>
                    </a:ln>
                    <a:extLst>
                      <a:ext uri="{53640926-AAD7-44D8-BBD7-CCE9431645EC}">
                        <a14:shadowObscured xmlns:a14="http://schemas.microsoft.com/office/drawing/2010/main"/>
                      </a:ext>
                    </a:extLst>
                  </pic:spPr>
                </pic:pic>
              </a:graphicData>
            </a:graphic>
          </wp:inline>
        </w:drawing>
      </w:r>
    </w:p>
    <w:p w:rsidR="00306687" w:rsidRPr="002E4D49" w:rsidRDefault="00306687" w:rsidP="00306687">
      <w:pPr>
        <w:pStyle w:val="Prrafodelista"/>
        <w:spacing w:before="240" w:line="240" w:lineRule="auto"/>
        <w:ind w:left="360" w:right="49"/>
        <w:jc w:val="center"/>
        <w:rPr>
          <w:rFonts w:ascii="Palatino Linotype" w:hAnsi="Palatino Linotype" w:cs="Arial"/>
          <w:sz w:val="18"/>
          <w:szCs w:val="24"/>
        </w:rPr>
      </w:pPr>
    </w:p>
    <w:p w:rsidR="0046491C" w:rsidRPr="00746812" w:rsidRDefault="00B56CFE" w:rsidP="00062A8A">
      <w:pPr>
        <w:pStyle w:val="Prrafodelista"/>
        <w:numPr>
          <w:ilvl w:val="0"/>
          <w:numId w:val="1"/>
        </w:numPr>
        <w:spacing w:after="0" w:line="360" w:lineRule="auto"/>
        <w:ind w:left="0" w:right="-93" w:firstLine="0"/>
        <w:jc w:val="both"/>
        <w:rPr>
          <w:rFonts w:ascii="Palatino Linotype" w:hAnsi="Palatino Linotype" w:cs="Arial"/>
          <w:i/>
          <w:sz w:val="24"/>
          <w:szCs w:val="24"/>
          <w:lang w:val="es-ES"/>
        </w:rPr>
      </w:pPr>
      <w:r>
        <w:rPr>
          <w:rFonts w:ascii="Palatino Linotype" w:hAnsi="Palatino Linotype" w:cs="Arial"/>
          <w:sz w:val="24"/>
          <w:szCs w:val="24"/>
        </w:rPr>
        <w:t>E</w:t>
      </w:r>
      <w:r w:rsidR="0046491C" w:rsidRPr="00746812">
        <w:rPr>
          <w:rFonts w:ascii="Palatino Linotype" w:hAnsi="Palatino Linotype" w:cs="Arial"/>
          <w:sz w:val="24"/>
          <w:szCs w:val="24"/>
        </w:rPr>
        <w:t xml:space="preserve">s de </w:t>
      </w:r>
      <w:r w:rsidR="0046491C" w:rsidRPr="00062A8A">
        <w:rPr>
          <w:rFonts w:ascii="Palatino Linotype" w:hAnsi="Palatino Linotype" w:cs="Arial"/>
          <w:sz w:val="24"/>
          <w:szCs w:val="24"/>
        </w:rPr>
        <w:t>destacar</w:t>
      </w:r>
      <w:r>
        <w:rPr>
          <w:rFonts w:ascii="Palatino Linotype" w:hAnsi="Palatino Linotype" w:cs="Arial"/>
          <w:sz w:val="24"/>
          <w:szCs w:val="24"/>
        </w:rPr>
        <w:t xml:space="preserve"> </w:t>
      </w:r>
      <w:r w:rsidR="00AE4797" w:rsidRPr="00746812">
        <w:rPr>
          <w:rFonts w:ascii="Palatino Linotype" w:hAnsi="Palatino Linotype" w:cs="Arial"/>
          <w:sz w:val="24"/>
          <w:szCs w:val="24"/>
        </w:rPr>
        <w:t>que</w:t>
      </w:r>
      <w:r>
        <w:rPr>
          <w:rFonts w:ascii="Palatino Linotype" w:hAnsi="Palatino Linotype" w:cs="Arial"/>
          <w:sz w:val="24"/>
          <w:szCs w:val="24"/>
        </w:rPr>
        <w:t xml:space="preserve"> </w:t>
      </w:r>
      <w:r w:rsidR="0046491C" w:rsidRPr="00746812">
        <w:rPr>
          <w:rFonts w:ascii="Palatino Linotype" w:hAnsi="Palatino Linotype" w:cs="Arial"/>
          <w:sz w:val="24"/>
          <w:szCs w:val="24"/>
        </w:rPr>
        <w:t xml:space="preserve">en el estudio y desarrollo de dicha resolución fueron invocados los llamados </w:t>
      </w:r>
      <w:r w:rsidR="006D268B" w:rsidRPr="00746812">
        <w:rPr>
          <w:rFonts w:ascii="Palatino Linotype" w:hAnsi="Palatino Linotype" w:cs="Arial"/>
          <w:sz w:val="24"/>
          <w:szCs w:val="24"/>
        </w:rPr>
        <w:t>“</w:t>
      </w:r>
      <w:r w:rsidR="0046491C" w:rsidRPr="00746812">
        <w:rPr>
          <w:rFonts w:ascii="Palatino Linotype" w:hAnsi="Palatino Linotype" w:cs="Arial"/>
          <w:sz w:val="24"/>
          <w:szCs w:val="24"/>
        </w:rPr>
        <w:t>actos consentidos</w:t>
      </w:r>
      <w:r w:rsidR="006D268B" w:rsidRPr="00746812">
        <w:rPr>
          <w:rFonts w:ascii="Palatino Linotype" w:hAnsi="Palatino Linotype" w:cs="Arial"/>
          <w:sz w:val="24"/>
          <w:szCs w:val="24"/>
        </w:rPr>
        <w:t>”</w:t>
      </w:r>
      <w:r w:rsidR="0046491C" w:rsidRPr="00746812">
        <w:rPr>
          <w:rFonts w:ascii="Palatino Linotype" w:hAnsi="Palatino Linotype" w:cs="Arial"/>
          <w:sz w:val="24"/>
          <w:szCs w:val="24"/>
        </w:rPr>
        <w:t>, tal y como se observa en las siguientes líneas de la resolución en comento:</w:t>
      </w:r>
    </w:p>
    <w:p w:rsidR="00213D56" w:rsidRPr="00213D56" w:rsidRDefault="0069498B" w:rsidP="00062A8A">
      <w:pPr>
        <w:spacing w:after="0" w:line="360" w:lineRule="auto"/>
        <w:ind w:left="567" w:right="616"/>
        <w:jc w:val="both"/>
        <w:rPr>
          <w:rFonts w:ascii="Palatino Linotype" w:hAnsi="Palatino Linotype" w:cs="Arial"/>
          <w:i/>
        </w:rPr>
      </w:pPr>
      <w:r w:rsidRPr="00072966">
        <w:rPr>
          <w:rFonts w:ascii="Palatino Linotype" w:hAnsi="Palatino Linotype" w:cs="Arial"/>
          <w:i/>
        </w:rPr>
        <w:t>“</w:t>
      </w:r>
      <w:r w:rsidR="00213D56" w:rsidRPr="00213D56">
        <w:rPr>
          <w:rFonts w:ascii="Palatino Linotype" w:hAnsi="Palatino Linotype" w:cs="Arial"/>
          <w:i/>
        </w:rPr>
        <w:t xml:space="preserve">Asimismo, es de considerar que LA RECURRENTE no impugnó toda la información proporcionada por parte del SUJETO OBLIGADO, en la respuesta, ya que sólo se inconformó respecto de lo señalado en el párrafo anterior, por tal motivo, la respuesta, </w:t>
      </w:r>
      <w:r w:rsidR="00213D56" w:rsidRPr="00213D56">
        <w:rPr>
          <w:rFonts w:ascii="Palatino Linotype" w:hAnsi="Palatino Linotype" w:cs="Arial"/>
          <w:i/>
        </w:rPr>
        <w:lastRenderedPageBreak/>
        <w:t xml:space="preserve">respecto a los rubros no combatidos y que sí fueron atendidos por EL SUJETO OBLIGADO, quedan firmes ante la falta de impugnación en específico, pues se entiende que LA RECURRENTE ésta conforme con la información entregada al no contravenir la misma, ya que refiere que no es el histórico, más no que la información de los años entregados no colmara parte del derecho de acceso a la información pública.  </w:t>
      </w:r>
    </w:p>
    <w:p w:rsidR="00213D56" w:rsidRPr="00213D56" w:rsidRDefault="00213D56" w:rsidP="00062A8A">
      <w:pPr>
        <w:spacing w:after="0" w:line="360" w:lineRule="auto"/>
        <w:ind w:left="567" w:right="616"/>
        <w:jc w:val="both"/>
        <w:rPr>
          <w:rFonts w:ascii="Palatino Linotype" w:hAnsi="Palatino Linotype" w:cs="Arial"/>
          <w:i/>
        </w:rPr>
      </w:pPr>
      <w:r w:rsidRPr="00213D56">
        <w:rPr>
          <w:rFonts w:ascii="Palatino Linotype" w:hAnsi="Palatino Linotype" w:cs="Arial"/>
          <w:i/>
        </w:rPr>
        <w:t xml:space="preserve">Sirve de sustento a lo anterior, por analogía la tesis jurisprudencial número </w:t>
      </w:r>
      <w:proofErr w:type="spellStart"/>
      <w:r w:rsidRPr="00213D56">
        <w:rPr>
          <w:rFonts w:ascii="Palatino Linotype" w:hAnsi="Palatino Linotype" w:cs="Arial"/>
          <w:i/>
        </w:rPr>
        <w:t>VI.3o.C</w:t>
      </w:r>
      <w:proofErr w:type="spellEnd"/>
      <w:r w:rsidRPr="00213D56">
        <w:rPr>
          <w:rFonts w:ascii="Palatino Linotype" w:hAnsi="Palatino Linotype" w:cs="Arial"/>
          <w:i/>
        </w:rPr>
        <w:t>. J/60, publicada en el Semanario Judicial de la Federación y su Gaceta bajo el número de registro 176,608 que a la letra dice:</w:t>
      </w:r>
    </w:p>
    <w:p w:rsidR="00213D56" w:rsidRPr="00213D56" w:rsidRDefault="00213D56" w:rsidP="00062A8A">
      <w:pPr>
        <w:spacing w:after="0" w:line="360" w:lineRule="auto"/>
        <w:ind w:left="567" w:right="616"/>
        <w:jc w:val="both"/>
        <w:rPr>
          <w:rFonts w:ascii="Palatino Linotype" w:hAnsi="Palatino Linotype" w:cs="Arial"/>
          <w:i/>
        </w:rPr>
      </w:pPr>
      <w:r w:rsidRPr="00213D56">
        <w:rPr>
          <w:rFonts w:ascii="Palatino Linotype" w:hAnsi="Palatino Linotype" w:cs="Arial"/>
          <w:i/>
        </w:rPr>
        <w:t xml:space="preserve"> “ACTOS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rsidR="00213D56" w:rsidRPr="00213D56" w:rsidRDefault="00213D56" w:rsidP="00062A8A">
      <w:pPr>
        <w:spacing w:after="0" w:line="360" w:lineRule="auto"/>
        <w:ind w:left="567" w:right="616"/>
        <w:jc w:val="both"/>
        <w:rPr>
          <w:rFonts w:ascii="Palatino Linotype" w:hAnsi="Palatino Linotype" w:cs="Arial"/>
          <w:i/>
        </w:rPr>
      </w:pPr>
      <w:r w:rsidRPr="00213D56">
        <w:rPr>
          <w:rFonts w:ascii="Palatino Linotype" w:hAnsi="Palatino Linotype" w:cs="Arial"/>
          <w:i/>
        </w:rPr>
        <w:t xml:space="preserve"> Lo anterior es así, debido a que, cuando LA RECURRENTE impugnó la respuesta del SUJETO OBLIGADO, no expresó razón o motivo de inconformidad en contra de la información entregada en respuesta.</w:t>
      </w:r>
    </w:p>
    <w:p w:rsidR="00213D56" w:rsidRPr="00213D56" w:rsidRDefault="00213D56" w:rsidP="00062A8A">
      <w:pPr>
        <w:spacing w:after="0" w:line="360" w:lineRule="auto"/>
        <w:ind w:left="567" w:right="616"/>
        <w:jc w:val="both"/>
        <w:rPr>
          <w:rFonts w:ascii="Palatino Linotype" w:hAnsi="Palatino Linotype" w:cs="Arial"/>
          <w:i/>
        </w:rPr>
      </w:pPr>
      <w:r w:rsidRPr="00213D56">
        <w:rPr>
          <w:rFonts w:ascii="Palatino Linotype" w:hAnsi="Palatino Linotype" w:cs="Arial"/>
          <w:i/>
        </w:rPr>
        <w:t>Consecuentemente, la parte de la respuesta que no fue impugnada debe declararse consentida por LA RECURRENTE, toda vez que no realizó manifestaciones de inconformidad; por lo que, no pueden producirse efectos jurídicos tendentes a revocar, confirmar o modificar el acto reclamado ya que se infiere su consentimiento ante la falta de impugnación eficaz.</w:t>
      </w:r>
    </w:p>
    <w:p w:rsidR="00213D56" w:rsidRPr="00213D56" w:rsidRDefault="00213D56" w:rsidP="00062A8A">
      <w:pPr>
        <w:spacing w:after="0" w:line="360" w:lineRule="auto"/>
        <w:ind w:left="567" w:right="616"/>
        <w:jc w:val="both"/>
        <w:rPr>
          <w:rFonts w:ascii="Palatino Linotype" w:hAnsi="Palatino Linotype" w:cs="Arial"/>
          <w:i/>
        </w:rPr>
      </w:pPr>
      <w:r w:rsidRPr="00213D56">
        <w:rPr>
          <w:rFonts w:ascii="Palatino Linotype" w:hAnsi="Palatino Linotype" w:cs="Arial"/>
          <w:i/>
        </w:rPr>
        <w:lastRenderedPageBreak/>
        <w:t>Sirve de apoyo a lo anterior, por analogía, la Tesis Jurisprudencial Número 3ª./</w:t>
      </w:r>
      <w:proofErr w:type="spellStart"/>
      <w:r w:rsidRPr="00213D56">
        <w:rPr>
          <w:rFonts w:ascii="Palatino Linotype" w:hAnsi="Palatino Linotype" w:cs="Arial"/>
          <w:i/>
        </w:rPr>
        <w:t>J.7</w:t>
      </w:r>
      <w:proofErr w:type="spellEnd"/>
      <w:r w:rsidRPr="00213D56">
        <w:rPr>
          <w:rFonts w:ascii="Palatino Linotype" w:hAnsi="Palatino Linotype" w:cs="Arial"/>
          <w:i/>
        </w:rPr>
        <w:t>/91, Publicada en el Semanario Judicial de la Federación y su Gaceta bajo el número de registro 174,177, que establece lo siguiente:</w:t>
      </w:r>
    </w:p>
    <w:p w:rsidR="00213D56" w:rsidRDefault="00213D56" w:rsidP="00062A8A">
      <w:pPr>
        <w:spacing w:after="0" w:line="360" w:lineRule="auto"/>
        <w:ind w:left="567" w:right="616"/>
        <w:jc w:val="both"/>
        <w:rPr>
          <w:rFonts w:ascii="Palatino Linotype" w:hAnsi="Palatino Linotype" w:cs="Arial"/>
          <w:i/>
        </w:rPr>
      </w:pPr>
      <w:r w:rsidRPr="00213D56">
        <w:rPr>
          <w:rFonts w:ascii="Palatino Linotype" w:hAnsi="Palatino Linotype" w:cs="Arial"/>
          <w:i/>
        </w:rPr>
        <w:t xml:space="preserve"> “REVISIÓN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hAnsi="Palatino Linotype" w:cs="Arial"/>
          <w:i/>
        </w:rPr>
        <w:t>”</w:t>
      </w:r>
    </w:p>
    <w:p w:rsidR="00062A8A" w:rsidRPr="00A10B30" w:rsidRDefault="00062A8A" w:rsidP="00062A8A">
      <w:pPr>
        <w:spacing w:after="0" w:line="240" w:lineRule="auto"/>
        <w:ind w:left="567" w:right="616"/>
        <w:jc w:val="both"/>
        <w:rPr>
          <w:rFonts w:ascii="Palatino Linotype" w:hAnsi="Palatino Linotype" w:cs="Arial"/>
          <w:i/>
        </w:rPr>
      </w:pPr>
    </w:p>
    <w:p w:rsidR="0095525C"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 xml:space="preserve">Derivado de </w:t>
      </w:r>
      <w:r w:rsidRPr="002E4D49">
        <w:rPr>
          <w:rFonts w:ascii="Palatino Linotype" w:hAnsi="Palatino Linotype" w:cs="Arial"/>
          <w:sz w:val="24"/>
          <w:szCs w:val="24"/>
        </w:rPr>
        <w:t>lo</w:t>
      </w:r>
      <w:r w:rsidRPr="00546812">
        <w:rPr>
          <w:rFonts w:ascii="Palatino Linotype" w:hAnsi="Palatino Linotype" w:cs="Arial"/>
          <w:sz w:val="24"/>
          <w:szCs w:val="24"/>
        </w:rPr>
        <w:t xml:space="preserve"> transcrito con anterioridad, considero que la</w:t>
      </w:r>
      <w:r w:rsidR="00260D6C" w:rsidRPr="00546812">
        <w:rPr>
          <w:rFonts w:ascii="Palatino Linotype" w:hAnsi="Palatino Linotype" w:cs="Arial"/>
          <w:sz w:val="24"/>
          <w:szCs w:val="24"/>
        </w:rPr>
        <w:t xml:space="preserve"> incorporación de dicho argumento</w:t>
      </w:r>
      <w:r w:rsidRPr="00546812">
        <w:rPr>
          <w:rFonts w:ascii="Palatino Linotype" w:hAnsi="Palatino Linotype" w:cs="Arial"/>
          <w:sz w:val="24"/>
          <w:szCs w:val="24"/>
        </w:rPr>
        <w:t xml:space="preserve"> en la resolución en comento resulta a todas luces innecesari</w:t>
      </w:r>
      <w:r w:rsidR="00E61AB8" w:rsidRPr="00546812">
        <w:rPr>
          <w:rFonts w:ascii="Palatino Linotype" w:hAnsi="Palatino Linotype" w:cs="Arial"/>
          <w:sz w:val="24"/>
          <w:szCs w:val="24"/>
        </w:rPr>
        <w:t xml:space="preserve">o y además no da </w:t>
      </w:r>
      <w:r w:rsidRPr="00546812">
        <w:rPr>
          <w:rFonts w:ascii="Palatino Linotype" w:hAnsi="Palatino Linotype" w:cs="Arial"/>
          <w:sz w:val="24"/>
          <w:szCs w:val="24"/>
        </w:rPr>
        <w:t xml:space="preserve">lugar a invocarlos en el derecho humano fundamental de acceder a la información pública gubernamental. Por lo que la mayoría consideró que la respuesta quedó firme ante la falta de impugnación respecto al resto de los requerimientos que no fueron manifestados en el recurso de revisión. </w:t>
      </w:r>
    </w:p>
    <w:p w:rsidR="00FE5690" w:rsidRPr="00306687" w:rsidRDefault="00FE5690" w:rsidP="00213D56">
      <w:pPr>
        <w:pStyle w:val="Prrafodelista"/>
        <w:spacing w:after="0" w:line="240" w:lineRule="auto"/>
        <w:ind w:left="360" w:right="49"/>
        <w:jc w:val="both"/>
        <w:rPr>
          <w:rFonts w:ascii="Palatino Linotype" w:hAnsi="Palatino Linotype" w:cs="Arial"/>
          <w:sz w:val="2"/>
          <w:szCs w:val="24"/>
        </w:rPr>
      </w:pPr>
    </w:p>
    <w:p w:rsidR="0046491C" w:rsidRPr="00DF7B12" w:rsidRDefault="0046491C" w:rsidP="00DF7B12">
      <w:pPr>
        <w:pStyle w:val="Ttulo1"/>
        <w:numPr>
          <w:ilvl w:val="0"/>
          <w:numId w:val="12"/>
        </w:numPr>
        <w:spacing w:line="360" w:lineRule="auto"/>
        <w:rPr>
          <w:rFonts w:ascii="Palatino Linotype" w:hAnsi="Palatino Linotype"/>
          <w:b/>
          <w:color w:val="auto"/>
          <w:sz w:val="24"/>
          <w:szCs w:val="24"/>
        </w:rPr>
      </w:pPr>
      <w:bookmarkStart w:id="3" w:name="_Toc534984480"/>
      <w:r w:rsidRPr="00DF7B12">
        <w:rPr>
          <w:rFonts w:ascii="Palatino Linotype" w:hAnsi="Palatino Linotype"/>
          <w:b/>
          <w:color w:val="auto"/>
          <w:sz w:val="24"/>
          <w:szCs w:val="24"/>
        </w:rPr>
        <w:t>Los actos consentidos no deben invocarse en el derecho fundamental de acceder a la información pública gubernamental.</w:t>
      </w:r>
      <w:bookmarkEnd w:id="3"/>
    </w:p>
    <w:p w:rsidR="0046491C" w:rsidRPr="00DF7B12" w:rsidRDefault="0046491C" w:rsidP="00DF7B12">
      <w:pPr>
        <w:pStyle w:val="Prrafodelista"/>
        <w:spacing w:after="0" w:line="240" w:lineRule="auto"/>
        <w:ind w:left="1080"/>
        <w:jc w:val="both"/>
        <w:rPr>
          <w:rFonts w:ascii="Palatino Linotype" w:hAnsi="Palatino Linotype" w:cs="Arial"/>
          <w:b/>
          <w:sz w:val="14"/>
          <w:szCs w:val="24"/>
        </w:rPr>
      </w:pPr>
    </w:p>
    <w:p w:rsidR="009C43B4"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eastAsia="Calibri" w:hAnsi="Palatino Linotype" w:cs="Times New Roman"/>
          <w:sz w:val="24"/>
          <w:szCs w:val="24"/>
          <w:lang w:val="es-ES" w:eastAsia="es-ES"/>
        </w:rPr>
        <w:t>En</w:t>
      </w:r>
      <w:r w:rsidRPr="00546812">
        <w:rPr>
          <w:rFonts w:ascii="Palatino Linotype" w:hAnsi="Palatino Linotype" w:cs="Arial"/>
          <w:sz w:val="24"/>
          <w:szCs w:val="24"/>
        </w:rPr>
        <w:t xml:space="preserve"> la resolución se precisa, un criterio </w:t>
      </w:r>
      <w:r w:rsidR="00260D6C" w:rsidRPr="00546812">
        <w:rPr>
          <w:rFonts w:ascii="Palatino Linotype" w:hAnsi="Palatino Linotype" w:cs="Arial"/>
          <w:sz w:val="24"/>
          <w:szCs w:val="24"/>
        </w:rPr>
        <w:t>denominado</w:t>
      </w:r>
      <w:r w:rsidR="009C43B4">
        <w:rPr>
          <w:rFonts w:ascii="Palatino Linotype" w:hAnsi="Palatino Linotype" w:cs="Arial"/>
          <w:sz w:val="24"/>
          <w:szCs w:val="24"/>
        </w:rPr>
        <w:t xml:space="preserve"> actos consentidos, a</w:t>
      </w:r>
      <w:r w:rsidRPr="00546812">
        <w:rPr>
          <w:rFonts w:ascii="Palatino Linotype" w:hAnsi="Palatino Linotype" w:cs="Arial"/>
          <w:sz w:val="24"/>
          <w:szCs w:val="24"/>
        </w:rPr>
        <w:t xml:space="preserve">l respecto estoy convencido de que la garantía constitucional que se desahoga ante esta autoridad corresponde a un procedimiento cuasi jurisdiccional que si bien reúne las </w:t>
      </w:r>
      <w:r w:rsidRPr="00546812">
        <w:rPr>
          <w:rFonts w:ascii="Palatino Linotype" w:hAnsi="Palatino Linotype" w:cs="Arial"/>
          <w:sz w:val="24"/>
          <w:szCs w:val="24"/>
        </w:rPr>
        <w:lastRenderedPageBreak/>
        <w:t xml:space="preserve">formalidades básicas, que no todas, del primero, también resulta evidentemente más flexible, más laxo y pretende ser de mayor protección al derecho humano, por eso es que contamos con un sistema electrónico que asiste a la persona que realiza una solicitud o presenta un recurso de revisión, de tal forma que se pretende que ejerza sus derechos sin verse en la necesidad de </w:t>
      </w:r>
      <w:r w:rsidRPr="00546812">
        <w:rPr>
          <w:rFonts w:ascii="Palatino Linotype" w:hAnsi="Palatino Linotype" w:cs="Arial"/>
          <w:b/>
          <w:sz w:val="24"/>
          <w:szCs w:val="24"/>
        </w:rPr>
        <w:t>acudir a un profesionista del derecho</w:t>
      </w:r>
      <w:r w:rsidRPr="00546812">
        <w:rPr>
          <w:rFonts w:ascii="Palatino Linotype" w:hAnsi="Palatino Linotype" w:cs="Arial"/>
          <w:sz w:val="24"/>
          <w:szCs w:val="24"/>
        </w:rPr>
        <w:t xml:space="preserve"> para que le asista en la elaboración de su promoción; contrario a ello, nuestro sistema pretende asistirle </w:t>
      </w:r>
      <w:r w:rsidR="009C43B4">
        <w:rPr>
          <w:rFonts w:ascii="Palatino Linotype" w:hAnsi="Palatino Linotype" w:cs="Arial"/>
          <w:sz w:val="24"/>
          <w:szCs w:val="24"/>
        </w:rPr>
        <w:t>y facilitarle el procedimiento.</w:t>
      </w:r>
    </w:p>
    <w:p w:rsidR="009C43B4" w:rsidRPr="00FE78B1" w:rsidRDefault="009C43B4" w:rsidP="009C43B4">
      <w:pPr>
        <w:pStyle w:val="Prrafodelista"/>
        <w:spacing w:before="240" w:after="0" w:line="240" w:lineRule="auto"/>
        <w:ind w:left="360" w:right="49"/>
        <w:jc w:val="both"/>
        <w:rPr>
          <w:rFonts w:ascii="Palatino Linotype" w:hAnsi="Palatino Linotype" w:cs="Arial"/>
          <w:sz w:val="18"/>
          <w:szCs w:val="24"/>
        </w:rPr>
      </w:pPr>
    </w:p>
    <w:p w:rsidR="00546812" w:rsidRDefault="009C43B4"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Pr>
          <w:rFonts w:ascii="Palatino Linotype" w:hAnsi="Palatino Linotype" w:cs="Arial"/>
          <w:sz w:val="24"/>
          <w:szCs w:val="24"/>
        </w:rPr>
        <w:t>E</w:t>
      </w:r>
      <w:r w:rsidR="0046491C" w:rsidRPr="00546812">
        <w:rPr>
          <w:rFonts w:ascii="Palatino Linotype" w:hAnsi="Palatino Linotype" w:cs="Arial"/>
          <w:sz w:val="24"/>
          <w:szCs w:val="24"/>
        </w:rPr>
        <w:t xml:space="preserve">sa flexibilidad se vería seriamente comprometida si este </w:t>
      </w:r>
      <w:r w:rsidR="00FE5690" w:rsidRPr="00546812">
        <w:rPr>
          <w:rFonts w:ascii="Palatino Linotype" w:hAnsi="Palatino Linotype" w:cs="Arial"/>
          <w:sz w:val="24"/>
          <w:szCs w:val="24"/>
        </w:rPr>
        <w:t xml:space="preserve">Órgano Garante </w:t>
      </w:r>
      <w:r w:rsidR="0046491C" w:rsidRPr="00546812">
        <w:rPr>
          <w:rFonts w:ascii="Palatino Linotype" w:hAnsi="Palatino Linotype" w:cs="Arial"/>
          <w:sz w:val="24"/>
          <w:szCs w:val="24"/>
        </w:rPr>
        <w:t>decide imponer las cargas formales del proceso jurisdiccional y, al mismo tiempo no asegura otros derechos, el de la defensa adecuada, por ejemplo, incumpliendo así con lo dispuesto en los artículos 74 de la Ley de Transparencia de Transparencia y Acceso a la Información Pública del Estado de México y Municipios y del 146 de la Ley General de Transparencia y Acceso a la Información Pública, que contemplan  la figura de la suplencia de la queja.</w:t>
      </w:r>
    </w:p>
    <w:p w:rsidR="00477EC3" w:rsidRPr="00546812" w:rsidRDefault="00477EC3" w:rsidP="00477EC3">
      <w:pPr>
        <w:pStyle w:val="Prrafodelista"/>
        <w:spacing w:before="240" w:after="0" w:line="240" w:lineRule="auto"/>
        <w:ind w:left="360" w:right="49"/>
        <w:jc w:val="both"/>
        <w:rPr>
          <w:rFonts w:ascii="Palatino Linotype" w:hAnsi="Palatino Linotype" w:cs="Arial"/>
          <w:sz w:val="24"/>
          <w:szCs w:val="24"/>
        </w:rPr>
      </w:pPr>
    </w:p>
    <w:p w:rsidR="00546812"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 xml:space="preserve">La figura de la suplencia de la queja, para Héctor </w:t>
      </w:r>
      <w:proofErr w:type="spellStart"/>
      <w:r w:rsidRPr="00546812">
        <w:rPr>
          <w:rFonts w:ascii="Palatino Linotype" w:hAnsi="Palatino Linotype" w:cs="Arial"/>
          <w:sz w:val="24"/>
          <w:szCs w:val="24"/>
        </w:rPr>
        <w:t>Fix</w:t>
      </w:r>
      <w:proofErr w:type="spellEnd"/>
      <w:r w:rsidRPr="00546812">
        <w:rPr>
          <w:rFonts w:ascii="Palatino Linotype" w:hAnsi="Palatino Linotype" w:cs="Arial"/>
          <w:sz w:val="24"/>
          <w:szCs w:val="24"/>
        </w:rPr>
        <w:t xml:space="preserve"> Zamudio  “…puede caracterizarse como el conjunto de atribuciones que se confieren al juez de amparo para corregir los errores o deficiencias en que incurran los reclamantes que, por su debilidad económica y cultural, carecen de un debido asesoramiento, y que puede expenderse, como ocurre en el proceso social agrario, a los diversos actos procesales </w:t>
      </w:r>
      <w:r w:rsidRPr="00546812">
        <w:rPr>
          <w:rFonts w:ascii="Palatino Linotype" w:hAnsi="Palatino Linotype" w:cs="Arial"/>
          <w:sz w:val="24"/>
          <w:szCs w:val="24"/>
        </w:rPr>
        <w:lastRenderedPageBreak/>
        <w:t>de la parte débil incluyendo el ofrecimiento y desahogo de los medios de prueba”.</w:t>
      </w:r>
      <w:r w:rsidRPr="00546812">
        <w:rPr>
          <w:rStyle w:val="Refdenotaalpie"/>
          <w:rFonts w:ascii="Palatino Linotype" w:hAnsi="Palatino Linotype" w:cs="Arial"/>
          <w:sz w:val="24"/>
          <w:szCs w:val="24"/>
        </w:rPr>
        <w:footnoteReference w:id="1"/>
      </w:r>
      <w:r w:rsidRPr="00546812">
        <w:rPr>
          <w:rFonts w:ascii="Palatino Linotype" w:hAnsi="Palatino Linotype" w:cs="Arial"/>
          <w:sz w:val="24"/>
          <w:szCs w:val="24"/>
        </w:rPr>
        <w:t xml:space="preserve"> Según este mismo autor, “…es siempre obligatoria… respecto de los errores o defectos de los conceptos de violación expresados en la demanda, así como los de los agravios formulados en los recursos que el mismo ordenamiento establece”.</w:t>
      </w:r>
      <w:r w:rsidRPr="00546812">
        <w:rPr>
          <w:rStyle w:val="Refdenotaalpie"/>
          <w:rFonts w:ascii="Palatino Linotype" w:hAnsi="Palatino Linotype" w:cs="Arial"/>
          <w:sz w:val="24"/>
          <w:szCs w:val="24"/>
        </w:rPr>
        <w:footnoteReference w:id="2"/>
      </w:r>
      <w:r w:rsidRPr="00546812">
        <w:rPr>
          <w:rFonts w:ascii="Palatino Linotype" w:hAnsi="Palatino Linotype" w:cs="Arial"/>
          <w:sz w:val="24"/>
          <w:szCs w:val="24"/>
        </w:rPr>
        <w:t xml:space="preserve"> </w:t>
      </w:r>
    </w:p>
    <w:p w:rsidR="0097582C" w:rsidRPr="00FE78B1" w:rsidRDefault="0097582C" w:rsidP="00DF7B12">
      <w:pPr>
        <w:pStyle w:val="Prrafodelista"/>
        <w:spacing w:before="240" w:after="0" w:line="240" w:lineRule="auto"/>
        <w:ind w:left="360" w:right="49"/>
        <w:jc w:val="both"/>
        <w:rPr>
          <w:rFonts w:ascii="Palatino Linotype" w:hAnsi="Palatino Linotype" w:cs="Arial"/>
          <w:sz w:val="18"/>
          <w:szCs w:val="24"/>
        </w:rPr>
      </w:pPr>
    </w:p>
    <w:p w:rsidR="00546812" w:rsidRPr="00546812"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Además es necesario precisar que el presente es un procedimiento cuasi jurisdiccional porque no hay partes en conflicto, por lo tanto lo que este Órgano Garante realice en materia de suplencia de la queja no afecta la igualdad de las partes sino procura el cumplimiento de los deberes de protección del derecho humano a partir del criterio que más le favorezca.</w:t>
      </w:r>
    </w:p>
    <w:p w:rsidR="00546812" w:rsidRPr="00FE78B1" w:rsidRDefault="00546812" w:rsidP="00DF7B12">
      <w:pPr>
        <w:pStyle w:val="Prrafodelista"/>
        <w:spacing w:line="240" w:lineRule="auto"/>
        <w:rPr>
          <w:rFonts w:ascii="Palatino Linotype" w:hAnsi="Palatino Linotype" w:cs="Arial"/>
          <w:sz w:val="18"/>
          <w:szCs w:val="24"/>
        </w:rPr>
      </w:pPr>
    </w:p>
    <w:p w:rsidR="00546812" w:rsidRPr="00546812"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 xml:space="preserve">No satisfecho con lo anterior, es necesario señalar que en materia del derecho de acceso a la información pública, tiene una justificación clara y precisa que se deriva de un aspecto de singular importancia, ya que lo que tratamos y pretendemos resolver consiste en el ejercicio de un derecho humano constitucional y convencionalmente reconocido. Por tanto, al tratar directamente con un derecho humano, todas las autoridades nos vemos impuestas del supremo mandato constitucional consistente en la promoción, respeto, protección y </w:t>
      </w:r>
      <w:r w:rsidRPr="00546812">
        <w:rPr>
          <w:rFonts w:ascii="Palatino Linotype" w:hAnsi="Palatino Linotype" w:cs="Arial"/>
          <w:b/>
          <w:sz w:val="24"/>
          <w:szCs w:val="24"/>
        </w:rPr>
        <w:t>garantía de los derechos humanos</w:t>
      </w:r>
      <w:r w:rsidRPr="00546812">
        <w:rPr>
          <w:rFonts w:ascii="Palatino Linotype" w:hAnsi="Palatino Linotype" w:cs="Arial"/>
          <w:sz w:val="24"/>
          <w:szCs w:val="24"/>
        </w:rPr>
        <w:t xml:space="preserve">, de tal forma que cualquier esfuerzo que se haga en el sentido de cumplir con dicho mandato no resulta ocioso ni sobra sino demuestra el grado de </w:t>
      </w:r>
      <w:r w:rsidRPr="00546812">
        <w:rPr>
          <w:rFonts w:ascii="Palatino Linotype" w:hAnsi="Palatino Linotype" w:cs="Arial"/>
          <w:sz w:val="24"/>
          <w:szCs w:val="24"/>
        </w:rPr>
        <w:lastRenderedPageBreak/>
        <w:t>compromiso de la autoridad con este aspecto toral de la reforma constitucional del 10 de junio de 2011.</w:t>
      </w:r>
    </w:p>
    <w:p w:rsidR="00546812" w:rsidRPr="00FE78B1" w:rsidRDefault="00546812" w:rsidP="00DF7B12">
      <w:pPr>
        <w:pStyle w:val="Prrafodelista"/>
        <w:spacing w:line="240" w:lineRule="auto"/>
        <w:rPr>
          <w:rFonts w:ascii="Palatino Linotype" w:hAnsi="Palatino Linotype" w:cs="Arial"/>
          <w:sz w:val="16"/>
          <w:szCs w:val="24"/>
        </w:rPr>
      </w:pPr>
    </w:p>
    <w:p w:rsidR="0046491C" w:rsidRPr="00546812"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En este sentido el Dr. Miguel Carbonell ha señalado que:</w:t>
      </w:r>
    </w:p>
    <w:p w:rsidR="0046491C" w:rsidRPr="002E4D49" w:rsidRDefault="0046491C" w:rsidP="00062A8A">
      <w:pPr>
        <w:spacing w:after="0" w:line="360" w:lineRule="auto"/>
        <w:ind w:left="567" w:right="616"/>
        <w:jc w:val="both"/>
        <w:rPr>
          <w:rFonts w:ascii="Palatino Linotype" w:hAnsi="Palatino Linotype" w:cs="Arial"/>
        </w:rPr>
      </w:pPr>
      <w:r w:rsidRPr="002E4D49">
        <w:rPr>
          <w:rFonts w:ascii="Palatino Linotype" w:hAnsi="Palatino Linotype" w:cs="Arial"/>
        </w:rPr>
        <w:t>“</w:t>
      </w:r>
      <w:r w:rsidRPr="002E4D49">
        <w:rPr>
          <w:rFonts w:ascii="Palatino Linotype" w:hAnsi="Palatino Linotype" w:cs="Arial"/>
          <w:i/>
        </w:rPr>
        <w:t xml:space="preserve">Queda claro, en consecuencia, que las obligaciones de promoción, respeto, protección y garantía de los derechos corren a cargo de todos los poderes, incluso </w:t>
      </w:r>
      <w:r w:rsidRPr="002E4D49">
        <w:rPr>
          <w:rFonts w:ascii="Palatino Linotype" w:hAnsi="Palatino Linotype" w:cs="Arial"/>
          <w:b/>
          <w:i/>
        </w:rPr>
        <w:t>considerando que algún nivel de gobierno tenga obligaciones reforzadas hacia ciertos derechos.</w:t>
      </w:r>
      <w:r w:rsidRPr="002E4D49">
        <w:rPr>
          <w:rFonts w:ascii="Palatino Linotype" w:hAnsi="Palatino Linotype" w:cs="Arial"/>
          <w:i/>
        </w:rPr>
        <w:t xml:space="preserve"> A partir de tales deberes generales, podemos afirmar que las autoridades de todos los niveles de gobierno también tienen la obligación positiva de </w:t>
      </w:r>
      <w:r w:rsidRPr="002E4D49">
        <w:rPr>
          <w:rFonts w:ascii="Palatino Linotype" w:hAnsi="Palatino Linotype" w:cs="Arial"/>
          <w:b/>
          <w:i/>
        </w:rPr>
        <w:t>tomar todas las medidas que sean pertinentes para tutelar y hacer eficaz un derecho</w:t>
      </w:r>
      <w:r w:rsidRPr="002E4D49">
        <w:rPr>
          <w:rFonts w:ascii="Palatino Linotype" w:hAnsi="Palatino Linotype" w:cs="Arial"/>
        </w:rPr>
        <w:t>”.</w:t>
      </w:r>
      <w:r w:rsidRPr="002E4D49">
        <w:rPr>
          <w:rStyle w:val="Refdenotaalpie"/>
          <w:rFonts w:ascii="Palatino Linotype" w:hAnsi="Palatino Linotype" w:cs="Arial"/>
        </w:rPr>
        <w:footnoteReference w:id="3"/>
      </w:r>
    </w:p>
    <w:p w:rsidR="00300B98" w:rsidRPr="00FE78B1" w:rsidRDefault="00300B98" w:rsidP="00DF7B12">
      <w:pPr>
        <w:pStyle w:val="Prrafodelista"/>
        <w:spacing w:after="0" w:line="240" w:lineRule="auto"/>
        <w:ind w:left="709" w:right="474"/>
        <w:jc w:val="both"/>
        <w:rPr>
          <w:rFonts w:ascii="Palatino Linotype" w:hAnsi="Palatino Linotype" w:cs="Arial"/>
          <w:sz w:val="14"/>
          <w:szCs w:val="24"/>
        </w:rPr>
      </w:pPr>
    </w:p>
    <w:p w:rsidR="00546812" w:rsidRPr="00546812"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 xml:space="preserve"> Por lo que restringir el derecho de acceso a la información pública del particular</w:t>
      </w:r>
      <w:r w:rsidRPr="00546812">
        <w:rPr>
          <w:rFonts w:ascii="Palatino Linotype" w:hAnsi="Palatino Linotype" w:cs="Arial"/>
          <w:b/>
          <w:sz w:val="24"/>
          <w:szCs w:val="24"/>
        </w:rPr>
        <w:t xml:space="preserve"> </w:t>
      </w:r>
      <w:r w:rsidRPr="00546812">
        <w:rPr>
          <w:rFonts w:ascii="Palatino Linotype" w:hAnsi="Palatino Linotype" w:cs="Arial"/>
          <w:sz w:val="24"/>
          <w:szCs w:val="24"/>
        </w:rPr>
        <w:t xml:space="preserve">suponiendo en el peor de los casos, que en efecto, no se hubiera ordenado </w:t>
      </w:r>
      <w:r w:rsidR="0093458D">
        <w:rPr>
          <w:rFonts w:ascii="Palatino Linotype" w:hAnsi="Palatino Linotype" w:cs="Arial"/>
          <w:sz w:val="24"/>
          <w:szCs w:val="24"/>
        </w:rPr>
        <w:t xml:space="preserve">el acuerdo de clasificación </w:t>
      </w:r>
      <w:r w:rsidRPr="00546812">
        <w:rPr>
          <w:rFonts w:ascii="Palatino Linotype" w:hAnsi="Palatino Linotype" w:cs="Arial"/>
          <w:sz w:val="24"/>
          <w:szCs w:val="24"/>
        </w:rPr>
        <w:t>por no impugnar la falta de</w:t>
      </w:r>
      <w:r w:rsidR="00CF544D">
        <w:rPr>
          <w:rFonts w:ascii="Palatino Linotype" w:hAnsi="Palatino Linotype" w:cs="Arial"/>
          <w:sz w:val="24"/>
          <w:szCs w:val="24"/>
        </w:rPr>
        <w:t xml:space="preserve"> atención de un punto en específico solicitado</w:t>
      </w:r>
      <w:r w:rsidRPr="00546812">
        <w:rPr>
          <w:rFonts w:ascii="Palatino Linotype" w:hAnsi="Palatino Linotype" w:cs="Arial"/>
          <w:sz w:val="24"/>
          <w:szCs w:val="24"/>
        </w:rPr>
        <w:t>, debilita la efectividad de esta garantía al hacerla depender de un hecho desconocido y, por lo tanto de dudosa acreditación, además que se insiste fue en todo momento innecesario señalar el argumento de actos consentidos.</w:t>
      </w:r>
    </w:p>
    <w:p w:rsidR="00546812" w:rsidRPr="00FE78B1" w:rsidRDefault="00546812" w:rsidP="00DF7B12">
      <w:pPr>
        <w:pStyle w:val="Prrafodelista"/>
        <w:spacing w:before="240" w:after="0" w:line="240" w:lineRule="auto"/>
        <w:ind w:left="360" w:right="49"/>
        <w:jc w:val="both"/>
        <w:rPr>
          <w:rFonts w:ascii="Palatino Linotype" w:hAnsi="Palatino Linotype" w:cs="Arial"/>
          <w:sz w:val="14"/>
          <w:szCs w:val="24"/>
        </w:rPr>
      </w:pPr>
    </w:p>
    <w:p w:rsidR="001455FC"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 xml:space="preserve">Enfrentar este silencio  u omisión de los particulares a inconformarse por algún punto o requerimiento de origen solicitado, cuando es evidente que no le fue entregada la información o satisfecho el derecho de acceso a la información pública con las formalidades del proceso jurisdiccional nos ubicaría en sentido contrario a la </w:t>
      </w:r>
      <w:r w:rsidRPr="00546812">
        <w:rPr>
          <w:rFonts w:ascii="Palatino Linotype" w:hAnsi="Palatino Linotype" w:cs="Arial"/>
          <w:sz w:val="24"/>
          <w:szCs w:val="24"/>
        </w:rPr>
        <w:lastRenderedPageBreak/>
        <w:t>evolución experimentada por el Estado Mexicano con la trascendental reforma a la Constitución Federal del 10 de junio de 2011 en materia de derechos humanos, ya que con ella estamos dejando atrás al Estado de la Ley, en el que la regla se impone sobre el derecho y que coloca a conceptos como la seguridad jurídica en la base legitimadora de todo el sistema ya que como bien señala el Dr. Rodolfo Luis Vigo</w:t>
      </w:r>
      <w:r w:rsidR="001455FC">
        <w:rPr>
          <w:rFonts w:ascii="Palatino Linotype" w:hAnsi="Palatino Linotype" w:cs="Arial"/>
          <w:sz w:val="24"/>
          <w:szCs w:val="24"/>
        </w:rPr>
        <w:t>:</w:t>
      </w:r>
    </w:p>
    <w:p w:rsidR="00062A8A" w:rsidRPr="00062A8A" w:rsidRDefault="00062A8A" w:rsidP="00062A8A">
      <w:pPr>
        <w:pStyle w:val="Prrafodelista"/>
        <w:spacing w:after="0" w:line="240" w:lineRule="auto"/>
        <w:ind w:left="0" w:right="-93"/>
        <w:jc w:val="both"/>
        <w:rPr>
          <w:rFonts w:ascii="Palatino Linotype" w:hAnsi="Palatino Linotype" w:cs="Arial"/>
          <w:sz w:val="8"/>
          <w:szCs w:val="24"/>
        </w:rPr>
      </w:pPr>
    </w:p>
    <w:p w:rsidR="00546812" w:rsidRDefault="0046491C" w:rsidP="00062A8A">
      <w:pPr>
        <w:spacing w:after="0" w:line="360" w:lineRule="auto"/>
        <w:ind w:left="567" w:right="616"/>
        <w:jc w:val="both"/>
        <w:rPr>
          <w:rFonts w:ascii="Palatino Linotype" w:hAnsi="Palatino Linotype" w:cs="Arial"/>
        </w:rPr>
      </w:pPr>
      <w:r w:rsidRPr="002E4D49">
        <w:rPr>
          <w:rFonts w:ascii="Palatino Linotype" w:hAnsi="Palatino Linotype" w:cs="Arial"/>
        </w:rPr>
        <w:t xml:space="preserve"> “</w:t>
      </w:r>
      <w:r w:rsidRPr="002E4D49">
        <w:rPr>
          <w:rFonts w:ascii="Palatino Linotype" w:hAnsi="Palatino Linotype" w:cs="Arial"/>
          <w:i/>
        </w:rPr>
        <w:t>La seguridad jurídica entendida como previsibilidad jurídica fundada en las normas generales reproducidas estrictamente por los jueces, o como el orden pacífico surgido del libre goce y disponibilidad de los derechos individuales, monopolizará el horizonte axiológico de los juristas decimonónicos</w:t>
      </w:r>
      <w:r w:rsidRPr="002E4D49">
        <w:rPr>
          <w:rFonts w:ascii="Palatino Linotype" w:hAnsi="Palatino Linotype" w:cs="Arial"/>
        </w:rPr>
        <w:t>”.</w:t>
      </w:r>
    </w:p>
    <w:p w:rsidR="00062A8A" w:rsidRPr="00062A8A" w:rsidRDefault="00062A8A" w:rsidP="00062A8A">
      <w:pPr>
        <w:spacing w:after="0" w:line="240" w:lineRule="auto"/>
        <w:ind w:left="567" w:right="616"/>
        <w:jc w:val="both"/>
        <w:rPr>
          <w:rFonts w:ascii="Palatino Linotype" w:hAnsi="Palatino Linotype" w:cs="Arial"/>
          <w:sz w:val="2"/>
        </w:rPr>
      </w:pPr>
    </w:p>
    <w:p w:rsidR="00DA52E0" w:rsidRPr="002E4D49" w:rsidRDefault="00DA52E0" w:rsidP="002E4D49">
      <w:pPr>
        <w:pStyle w:val="Prrafodelista"/>
        <w:spacing w:before="240" w:after="0" w:line="240" w:lineRule="auto"/>
        <w:ind w:left="360" w:right="49"/>
        <w:jc w:val="both"/>
        <w:rPr>
          <w:rFonts w:ascii="Palatino Linotype" w:hAnsi="Palatino Linotype" w:cs="Arial"/>
          <w:sz w:val="6"/>
          <w:szCs w:val="24"/>
        </w:rPr>
      </w:pPr>
    </w:p>
    <w:p w:rsidR="00546812" w:rsidRPr="00546812"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 xml:space="preserve">Frente a esa realidad pasada, la reforma citada nos ubica completamente en nuevas condiciones bajo los criterios del Estado Constitucional de Derecho que nos debe conducir a valorar, junto con Sergio </w:t>
      </w:r>
      <w:proofErr w:type="spellStart"/>
      <w:r w:rsidRPr="00546812">
        <w:rPr>
          <w:rFonts w:ascii="Palatino Linotype" w:hAnsi="Palatino Linotype" w:cs="Arial"/>
          <w:sz w:val="24"/>
          <w:szCs w:val="24"/>
        </w:rPr>
        <w:t>Cotta</w:t>
      </w:r>
      <w:proofErr w:type="spellEnd"/>
      <w:r w:rsidRPr="00546812">
        <w:rPr>
          <w:rFonts w:ascii="Palatino Linotype" w:hAnsi="Palatino Linotype" w:cs="Arial"/>
          <w:sz w:val="24"/>
          <w:szCs w:val="24"/>
        </w:rPr>
        <w:t xml:space="preserve"> que “la obligatoriedad de la norma depende de la validez de su justificación, que es, por consiguiente el fundamento de aquella”,</w:t>
      </w:r>
      <w:r w:rsidRPr="00546812">
        <w:rPr>
          <w:rStyle w:val="Refdenotaalpie"/>
          <w:rFonts w:ascii="Palatino Linotype" w:hAnsi="Palatino Linotype" w:cs="Arial"/>
          <w:sz w:val="24"/>
          <w:szCs w:val="24"/>
        </w:rPr>
        <w:footnoteReference w:id="4"/>
      </w:r>
      <w:r w:rsidRPr="00546812">
        <w:rPr>
          <w:rFonts w:ascii="Palatino Linotype" w:hAnsi="Palatino Linotype" w:cs="Arial"/>
          <w:sz w:val="24"/>
          <w:szCs w:val="24"/>
        </w:rPr>
        <w:t xml:space="preserve"> y no puede existir validez en la aplicación de un criterio que propicia una riesgosa afectación al derecho de acceso a la información.</w:t>
      </w:r>
    </w:p>
    <w:p w:rsidR="00546812" w:rsidRPr="00FE78B1" w:rsidRDefault="00546812" w:rsidP="00DF7B12">
      <w:pPr>
        <w:pStyle w:val="Prrafodelista"/>
        <w:spacing w:line="240" w:lineRule="auto"/>
        <w:rPr>
          <w:rFonts w:ascii="Palatino Linotype" w:hAnsi="Palatino Linotype" w:cs="Arial"/>
          <w:sz w:val="16"/>
          <w:szCs w:val="24"/>
        </w:rPr>
      </w:pPr>
    </w:p>
    <w:p w:rsidR="001455FC"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 xml:space="preserve">Mucho menos si consideramos el siguiente criterio: DERECHOS HUMANOS. OBLIGACIÓN DE PROTEGERLOS EN TÉRMINOS DEL ARTÍCULO 1o., PÁRRAFO TERCERO, DE LA CONSTITUCIÓN POLÍTICA DE LOS ESTADOS UNIDOS MEXICANOS. El párrafo tercero del artículo 1o. de la Constitución Política de los </w:t>
      </w:r>
      <w:r w:rsidRPr="00546812">
        <w:rPr>
          <w:rFonts w:ascii="Palatino Linotype" w:hAnsi="Palatino Linotype" w:cs="Arial"/>
          <w:sz w:val="24"/>
          <w:szCs w:val="24"/>
        </w:rPr>
        <w:lastRenderedPageBreak/>
        <w:t xml:space="preserve">Estados Unidos Mexicanos dispone como obligaciones generales de las autoridades del Estado Mexicano las consistentes en: </w:t>
      </w:r>
    </w:p>
    <w:p w:rsidR="001455FC" w:rsidRDefault="0046491C" w:rsidP="001455FC">
      <w:pPr>
        <w:pStyle w:val="Prrafodelista"/>
        <w:numPr>
          <w:ilvl w:val="0"/>
          <w:numId w:val="31"/>
        </w:numPr>
        <w:spacing w:before="240" w:after="0" w:line="360" w:lineRule="auto"/>
        <w:ind w:left="2127" w:right="49"/>
        <w:jc w:val="both"/>
        <w:rPr>
          <w:rFonts w:ascii="Palatino Linotype" w:hAnsi="Palatino Linotype" w:cs="Arial"/>
          <w:sz w:val="24"/>
          <w:szCs w:val="24"/>
        </w:rPr>
      </w:pPr>
      <w:r w:rsidRPr="00546812">
        <w:rPr>
          <w:rFonts w:ascii="Palatino Linotype" w:hAnsi="Palatino Linotype" w:cs="Arial"/>
          <w:sz w:val="24"/>
          <w:szCs w:val="24"/>
        </w:rPr>
        <w:t xml:space="preserve">Respetar; </w:t>
      </w:r>
    </w:p>
    <w:p w:rsidR="001455FC" w:rsidRDefault="0046491C" w:rsidP="001455FC">
      <w:pPr>
        <w:pStyle w:val="Prrafodelista"/>
        <w:numPr>
          <w:ilvl w:val="0"/>
          <w:numId w:val="31"/>
        </w:numPr>
        <w:spacing w:before="240" w:after="0" w:line="360" w:lineRule="auto"/>
        <w:ind w:left="2127" w:right="49"/>
        <w:jc w:val="both"/>
        <w:rPr>
          <w:rFonts w:ascii="Palatino Linotype" w:hAnsi="Palatino Linotype" w:cs="Arial"/>
          <w:sz w:val="24"/>
          <w:szCs w:val="24"/>
        </w:rPr>
      </w:pPr>
      <w:r w:rsidRPr="00546812">
        <w:rPr>
          <w:rFonts w:ascii="Palatino Linotype" w:hAnsi="Palatino Linotype" w:cs="Arial"/>
          <w:sz w:val="24"/>
          <w:szCs w:val="24"/>
        </w:rPr>
        <w:t>Proteger;</w:t>
      </w:r>
    </w:p>
    <w:p w:rsidR="001455FC" w:rsidRDefault="0046491C" w:rsidP="001455FC">
      <w:pPr>
        <w:pStyle w:val="Prrafodelista"/>
        <w:numPr>
          <w:ilvl w:val="0"/>
          <w:numId w:val="31"/>
        </w:numPr>
        <w:spacing w:before="240" w:after="0" w:line="360" w:lineRule="auto"/>
        <w:ind w:left="2127" w:right="49"/>
        <w:jc w:val="both"/>
        <w:rPr>
          <w:rFonts w:ascii="Palatino Linotype" w:hAnsi="Palatino Linotype" w:cs="Arial"/>
          <w:sz w:val="24"/>
          <w:szCs w:val="24"/>
        </w:rPr>
      </w:pPr>
      <w:r w:rsidRPr="00546812">
        <w:rPr>
          <w:rFonts w:ascii="Palatino Linotype" w:hAnsi="Palatino Linotype" w:cs="Arial"/>
          <w:sz w:val="24"/>
          <w:szCs w:val="24"/>
        </w:rPr>
        <w:t xml:space="preserve">Garantizar; y, </w:t>
      </w:r>
    </w:p>
    <w:p w:rsidR="001455FC" w:rsidRDefault="0046491C" w:rsidP="001455FC">
      <w:pPr>
        <w:pStyle w:val="Prrafodelista"/>
        <w:numPr>
          <w:ilvl w:val="0"/>
          <w:numId w:val="31"/>
        </w:numPr>
        <w:spacing w:before="240" w:after="0" w:line="360" w:lineRule="auto"/>
        <w:ind w:left="2127" w:right="49"/>
        <w:jc w:val="both"/>
        <w:rPr>
          <w:rFonts w:ascii="Palatino Linotype" w:hAnsi="Palatino Linotype" w:cs="Arial"/>
          <w:sz w:val="24"/>
          <w:szCs w:val="24"/>
        </w:rPr>
      </w:pPr>
      <w:r w:rsidRPr="00546812">
        <w:rPr>
          <w:rFonts w:ascii="Palatino Linotype" w:hAnsi="Palatino Linotype" w:cs="Arial"/>
          <w:sz w:val="24"/>
          <w:szCs w:val="24"/>
        </w:rPr>
        <w:t xml:space="preserve">Promover los derechos humanos, </w:t>
      </w:r>
    </w:p>
    <w:p w:rsidR="001455FC" w:rsidRPr="00FE78B1" w:rsidRDefault="001455FC" w:rsidP="001455FC">
      <w:pPr>
        <w:pStyle w:val="Prrafodelista"/>
        <w:spacing w:line="240" w:lineRule="auto"/>
        <w:rPr>
          <w:rFonts w:ascii="Palatino Linotype" w:hAnsi="Palatino Linotype" w:cs="Arial"/>
          <w:sz w:val="18"/>
          <w:szCs w:val="24"/>
        </w:rPr>
      </w:pPr>
    </w:p>
    <w:p w:rsidR="001455FC" w:rsidRDefault="001455F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Pr>
          <w:rFonts w:ascii="Palatino Linotype" w:hAnsi="Palatino Linotype" w:cs="Arial"/>
          <w:sz w:val="24"/>
          <w:szCs w:val="24"/>
        </w:rPr>
        <w:t>D</w:t>
      </w:r>
      <w:r w:rsidR="0046491C" w:rsidRPr="00546812">
        <w:rPr>
          <w:rFonts w:ascii="Palatino Linotype" w:hAnsi="Palatino Linotype" w:cs="Arial"/>
          <w:sz w:val="24"/>
          <w:szCs w:val="24"/>
        </w:rPr>
        <w:t xml:space="preserve">e conformidad con los principios rectores de universalidad, interdependencia, indivisibilidad y progresividad. De ahí que para determinar si una conducta específica de la autoridad importa violación a derechos fundamentales, debe evaluarse si se apega o no a la obligación de protegerlos. Ésta puede caracterizarse como </w:t>
      </w:r>
      <w:r w:rsidR="0046491C" w:rsidRPr="00546812">
        <w:rPr>
          <w:rFonts w:ascii="Palatino Linotype" w:hAnsi="Palatino Linotype" w:cs="Arial"/>
          <w:b/>
          <w:sz w:val="24"/>
          <w:szCs w:val="24"/>
        </w:rPr>
        <w:t>el deber que tienen los órganos del Estado, dentro del margen de sus atribuciones, de prevenir violaciones a los derechos fundamentales,</w:t>
      </w:r>
      <w:r w:rsidR="0046491C" w:rsidRPr="00546812">
        <w:rPr>
          <w:rFonts w:ascii="Palatino Linotype" w:hAnsi="Palatino Linotype" w:cs="Arial"/>
          <w:sz w:val="24"/>
          <w:szCs w:val="24"/>
        </w:rPr>
        <w:t xml:space="preserve"> ya sea que provengan de una autoridad o de algún particular y, por ello, </w:t>
      </w:r>
      <w:r w:rsidR="0046491C" w:rsidRPr="00546812">
        <w:rPr>
          <w:rFonts w:ascii="Palatino Linotype" w:hAnsi="Palatino Linotype" w:cs="Arial"/>
          <w:b/>
          <w:sz w:val="24"/>
          <w:szCs w:val="24"/>
        </w:rPr>
        <w:t>debe contarse</w:t>
      </w:r>
      <w:r w:rsidR="0046491C" w:rsidRPr="00546812">
        <w:rPr>
          <w:rFonts w:ascii="Palatino Linotype" w:hAnsi="Palatino Linotype" w:cs="Arial"/>
          <w:sz w:val="24"/>
          <w:szCs w:val="24"/>
        </w:rPr>
        <w:t xml:space="preserve"> tanto </w:t>
      </w:r>
      <w:r w:rsidR="0046491C" w:rsidRPr="00546812">
        <w:rPr>
          <w:rFonts w:ascii="Palatino Linotype" w:hAnsi="Palatino Linotype" w:cs="Arial"/>
          <w:b/>
          <w:sz w:val="24"/>
          <w:szCs w:val="24"/>
        </w:rPr>
        <w:t>con mecanismos</w:t>
      </w:r>
      <w:r w:rsidR="0046491C" w:rsidRPr="00546812">
        <w:rPr>
          <w:rFonts w:ascii="Palatino Linotype" w:hAnsi="Palatino Linotype" w:cs="Arial"/>
          <w:sz w:val="24"/>
          <w:szCs w:val="24"/>
        </w:rPr>
        <w:t xml:space="preserve"> de vigilancia como </w:t>
      </w:r>
      <w:r w:rsidR="0046491C" w:rsidRPr="00546812">
        <w:rPr>
          <w:rFonts w:ascii="Palatino Linotype" w:hAnsi="Palatino Linotype" w:cs="Arial"/>
          <w:b/>
          <w:sz w:val="24"/>
          <w:szCs w:val="24"/>
        </w:rPr>
        <w:t>de reacción ante el riesgo de vulneración del derecho, de forma que se impida la consumación de la violación. En este último sentido, su cumplimiento es inmediatamente exigible, ya que como la conducta estatal debe encaminarse a resguardar a las personas de las interferencias a sus derechos provenientes de los propios agentes del Estado</w:t>
      </w:r>
      <w:r w:rsidR="0046491C" w:rsidRPr="00546812">
        <w:rPr>
          <w:rFonts w:ascii="Palatino Linotype" w:hAnsi="Palatino Linotype" w:cs="Arial"/>
          <w:sz w:val="24"/>
          <w:szCs w:val="24"/>
        </w:rPr>
        <w:t xml:space="preserve"> como de otros particulares, este fin se logra, en principio, mediante la actividad legislativa y de vigilancia en su cumplimiento y, si esto es insuficiente, mediante las acciones necesarias para impedir la consumación de la violación a los derechos. </w:t>
      </w:r>
    </w:p>
    <w:p w:rsidR="001455FC" w:rsidRPr="00FE78B1" w:rsidRDefault="001455FC" w:rsidP="00FE78B1">
      <w:pPr>
        <w:pStyle w:val="Prrafodelista"/>
        <w:spacing w:before="240" w:after="0" w:line="240" w:lineRule="auto"/>
        <w:ind w:left="360" w:right="49"/>
        <w:jc w:val="both"/>
        <w:rPr>
          <w:rFonts w:ascii="Palatino Linotype" w:hAnsi="Palatino Linotype" w:cs="Arial"/>
          <w:sz w:val="18"/>
          <w:szCs w:val="24"/>
        </w:rPr>
      </w:pPr>
    </w:p>
    <w:p w:rsidR="00546812" w:rsidRPr="00546812"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lastRenderedPageBreak/>
        <w:t>De ahí que, una vez conocido el riesgo de vulneración a un derecho humano, el Estado incumple su obligación si no realiza acción alguna, sobre todo, porque, en el caso de sus propios agentes, está obligado a saber todo lo que hacen. [TA] Tesis: XXVII.3o.3 CS (10a.) Tribunales Colegiados de Circuito. Décima Época, Gaceta del Semanario Judicial de la Federación, Libro 11, Octubre de 2014, Tomo III, Página: 2840.</w:t>
      </w:r>
    </w:p>
    <w:p w:rsidR="00546812" w:rsidRPr="00FE78B1" w:rsidRDefault="00546812" w:rsidP="00DF7B12">
      <w:pPr>
        <w:pStyle w:val="Prrafodelista"/>
        <w:spacing w:before="240" w:after="0" w:line="240" w:lineRule="auto"/>
        <w:ind w:left="360" w:right="49"/>
        <w:jc w:val="both"/>
        <w:rPr>
          <w:rFonts w:ascii="Palatino Linotype" w:hAnsi="Palatino Linotype" w:cs="Arial"/>
          <w:sz w:val="18"/>
          <w:szCs w:val="24"/>
        </w:rPr>
      </w:pPr>
    </w:p>
    <w:p w:rsidR="00A80A1A"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 xml:space="preserve">Para el caso que nos ocupa y en general es innecesario incorporar en las resoluciones de un Órgano Garante como lo es el Instituto de Transparencia, Acceso a la Información Pública y Protección de Datos Personales del Estado de México y  Municipios a los actos consentidos  toda vez que los particulares al no impugnar alguno de los requerimientos solicitados, y de la respuesta ofrecida por parte de los </w:t>
      </w:r>
      <w:r w:rsidRPr="00546812">
        <w:rPr>
          <w:rFonts w:ascii="Palatino Linotype" w:hAnsi="Palatino Linotype" w:cs="Arial"/>
          <w:b/>
          <w:sz w:val="24"/>
          <w:szCs w:val="24"/>
        </w:rPr>
        <w:t>SUJETOS OBLIGADOS</w:t>
      </w:r>
      <w:r w:rsidRPr="00546812">
        <w:rPr>
          <w:rFonts w:ascii="Palatino Linotype" w:hAnsi="Palatino Linotype" w:cs="Arial"/>
          <w:sz w:val="24"/>
          <w:szCs w:val="24"/>
        </w:rPr>
        <w:t xml:space="preserve"> sea evidente la falta de alguno de ellos, en ese tenor los particulares se ven impedidos, en los hechos, a acceder a una información que fue solicitada. </w:t>
      </w:r>
    </w:p>
    <w:p w:rsidR="00A80A1A" w:rsidRPr="00FE78B1" w:rsidRDefault="00A80A1A" w:rsidP="00DF7B12">
      <w:pPr>
        <w:pStyle w:val="Prrafodelista"/>
        <w:spacing w:line="240" w:lineRule="auto"/>
        <w:rPr>
          <w:rFonts w:ascii="Palatino Linotype" w:hAnsi="Palatino Linotype" w:cs="Arial"/>
          <w:sz w:val="18"/>
          <w:szCs w:val="24"/>
        </w:rPr>
      </w:pPr>
    </w:p>
    <w:p w:rsidR="00546812"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Ante tales casos, considero, este Órgano Garante debe cumplir con las obligaciones señaladas en el párrafo tercero del artículo primero de la Constitución Federal, lo que es posible a través de la suplencia de la queja, instrumento adecuado para prevenir una posible vulneración al derecho de acceso a la información y que además se encuentra disponible para ser operado por esta autoridad.</w:t>
      </w:r>
    </w:p>
    <w:p w:rsidR="00546812" w:rsidRPr="00FE78B1" w:rsidRDefault="00546812" w:rsidP="00DF7B12">
      <w:pPr>
        <w:pStyle w:val="Prrafodelista"/>
        <w:spacing w:line="240" w:lineRule="auto"/>
        <w:rPr>
          <w:rFonts w:ascii="Palatino Linotype" w:hAnsi="Palatino Linotype" w:cs="Arial"/>
          <w:sz w:val="16"/>
          <w:szCs w:val="24"/>
        </w:rPr>
      </w:pPr>
    </w:p>
    <w:p w:rsidR="0046491C" w:rsidRPr="00546812"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546812">
        <w:rPr>
          <w:rFonts w:ascii="Palatino Linotype" w:hAnsi="Palatino Linotype" w:cs="Arial"/>
          <w:sz w:val="24"/>
          <w:szCs w:val="24"/>
        </w:rPr>
        <w:t xml:space="preserve">Pero además, la figura de la suplencia de la queja es central para apreciar la verdadera fuerza de los derechos humanos, entre ellos el de acceso a la información, </w:t>
      </w:r>
      <w:r w:rsidRPr="00546812">
        <w:rPr>
          <w:rFonts w:ascii="Palatino Linotype" w:hAnsi="Palatino Linotype" w:cs="Arial"/>
          <w:sz w:val="24"/>
          <w:szCs w:val="24"/>
        </w:rPr>
        <w:lastRenderedPageBreak/>
        <w:t>que demandan una actuación clara, contundente y eficaz por parte de todas las autoridades, en el que ya no resultan admisibles las excusas de procedibilidad, ya que en todo momento nos encontramos ante un derecho más alto que, puede considerarse en los siguientes términos:</w:t>
      </w:r>
    </w:p>
    <w:p w:rsidR="0046491C" w:rsidRPr="002E4D49" w:rsidRDefault="0046491C" w:rsidP="00062A8A">
      <w:pPr>
        <w:spacing w:after="0" w:line="360" w:lineRule="auto"/>
        <w:ind w:left="567" w:right="616"/>
        <w:jc w:val="both"/>
        <w:rPr>
          <w:rFonts w:ascii="Palatino Linotype" w:hAnsi="Palatino Linotype" w:cs="Arial"/>
          <w:i/>
        </w:rPr>
      </w:pPr>
      <w:r w:rsidRPr="002E4D49">
        <w:rPr>
          <w:rFonts w:ascii="Palatino Linotype" w:hAnsi="Palatino Linotype" w:cs="Arial"/>
          <w:i/>
        </w:rPr>
        <w:t xml:space="preserve">“Las Constituciones contemporáneas intentan poner remedio a estos efectos destructivos del orden jurídico mediante la previsión de un derecho más alto, dotado de fuerza obligatoria incluso para el legislador. El objetivo es condicionar y, por tanto, contener, orientándolos, los desarrollos contradictorios de la producción del derecho, generados por la heterogeneidad y </w:t>
      </w:r>
      <w:proofErr w:type="spellStart"/>
      <w:r w:rsidRPr="002E4D49">
        <w:rPr>
          <w:rFonts w:ascii="Palatino Linotype" w:hAnsi="Palatino Linotype" w:cs="Arial"/>
          <w:i/>
        </w:rPr>
        <w:t>ocasionalidad</w:t>
      </w:r>
      <w:proofErr w:type="spellEnd"/>
      <w:r w:rsidRPr="002E4D49">
        <w:rPr>
          <w:rFonts w:ascii="Palatino Linotype" w:hAnsi="Palatino Linotype" w:cs="Arial"/>
          <w:i/>
        </w:rPr>
        <w:t xml:space="preserve"> de las presiones sociales que se ejercen sobre el mismo”.</w:t>
      </w:r>
      <w:r w:rsidRPr="002E4D49">
        <w:rPr>
          <w:rStyle w:val="Refdenotaalpie"/>
          <w:rFonts w:ascii="Palatino Linotype" w:hAnsi="Palatino Linotype" w:cs="Arial"/>
          <w:i/>
        </w:rPr>
        <w:footnoteReference w:id="5"/>
      </w:r>
    </w:p>
    <w:p w:rsidR="00477EC3" w:rsidRPr="00477EC3" w:rsidRDefault="00477EC3" w:rsidP="00477EC3">
      <w:pPr>
        <w:spacing w:after="0" w:line="240" w:lineRule="auto"/>
        <w:ind w:left="1134" w:right="618"/>
        <w:jc w:val="both"/>
        <w:rPr>
          <w:rFonts w:ascii="Palatino Linotype" w:hAnsi="Palatino Linotype" w:cs="Arial"/>
          <w:i/>
          <w:sz w:val="16"/>
        </w:rPr>
      </w:pPr>
    </w:p>
    <w:p w:rsidR="0046491C" w:rsidRPr="00072966"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072966">
        <w:rPr>
          <w:rFonts w:ascii="Palatino Linotype" w:hAnsi="Palatino Linotype" w:cs="Arial"/>
          <w:sz w:val="24"/>
          <w:szCs w:val="24"/>
        </w:rPr>
        <w:t>Por lo tanto, frente a ese derecho más alto, los argumentos formales deben ser derrotados por la obligación que el legislador ordinario nos ha impuesto para asegurar la efectiva protección del derecho en cuestión a través del ejercicio de la figura de la suplencia de la queja, con lo que se pretende asegurar una efectiva protección. Declinar esa obligación por la experiencia pasada nos aleja del mandato constitucional y pretende otorgar plena certeza a la presunción de que la solicitud ha sido atendida, lo que de no ser así, afecta el derecho humano.</w:t>
      </w:r>
    </w:p>
    <w:p w:rsidR="0046491C" w:rsidRPr="00FE78B1" w:rsidRDefault="0046491C" w:rsidP="00DF7B12">
      <w:pPr>
        <w:pStyle w:val="Prrafodelista"/>
        <w:spacing w:after="0" w:line="240" w:lineRule="auto"/>
        <w:ind w:left="426"/>
        <w:jc w:val="both"/>
        <w:rPr>
          <w:rFonts w:ascii="Palatino Linotype" w:hAnsi="Palatino Linotype" w:cs="Arial"/>
          <w:sz w:val="18"/>
          <w:szCs w:val="24"/>
        </w:rPr>
      </w:pPr>
    </w:p>
    <w:p w:rsidR="00DE24C8"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072966">
        <w:rPr>
          <w:rFonts w:ascii="Palatino Linotype" w:hAnsi="Palatino Linotype" w:cs="Arial"/>
          <w:sz w:val="24"/>
          <w:szCs w:val="24"/>
        </w:rPr>
        <w:t xml:space="preserve">Considero que no se justifica el argumento que se ha señalado en múltiples ocasiones y que comparte la mayoría en relación a “si no ésta expresa razón o motivo de inconformidad en contra de todos los rubros solicitados, dichos rubros deben </w:t>
      </w:r>
      <w:r w:rsidRPr="00072966">
        <w:rPr>
          <w:rFonts w:ascii="Palatino Linotype" w:hAnsi="Palatino Linotype" w:cs="Arial"/>
          <w:sz w:val="24"/>
          <w:szCs w:val="24"/>
        </w:rPr>
        <w:lastRenderedPageBreak/>
        <w:t xml:space="preserve">declararse atendidos, pues se infiere que el recurrente ésta conforme con la información entregada al no contravenir la misma”. </w:t>
      </w:r>
    </w:p>
    <w:p w:rsidR="00DE24C8" w:rsidRPr="00FE78B1" w:rsidRDefault="00DE24C8" w:rsidP="00FE78B1">
      <w:pPr>
        <w:pStyle w:val="Prrafodelista"/>
        <w:spacing w:before="240" w:after="0" w:line="240" w:lineRule="auto"/>
        <w:ind w:left="360" w:right="49"/>
        <w:jc w:val="both"/>
        <w:rPr>
          <w:rFonts w:ascii="Palatino Linotype" w:hAnsi="Palatino Linotype" w:cs="Arial"/>
          <w:sz w:val="18"/>
          <w:szCs w:val="24"/>
        </w:rPr>
      </w:pPr>
    </w:p>
    <w:p w:rsidR="004667B3"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072966">
        <w:rPr>
          <w:rFonts w:ascii="Palatino Linotype" w:hAnsi="Palatino Linotype" w:cs="Arial"/>
          <w:sz w:val="24"/>
          <w:szCs w:val="24"/>
        </w:rPr>
        <w:t xml:space="preserve">Este Órgano Garante debe revisar en forma minuciosa en todos los casos, si se le entregó a los peticionarios todos y cada uno de los puntos que fueron solicitados, de esta forma se podrá verificar si el particular no se inconforma porque en efecto le han sido colmadas sus peticiones y por ello se tiene por satisfecho el Derecho de Acceder a la Información Pública, o bien, no le han sido colmados todos sus requerimientos y omite manifestarse al respecto, por diversos factores que a su alrededor ocurran y le puedan afectar. </w:t>
      </w:r>
    </w:p>
    <w:p w:rsidR="004667B3" w:rsidRPr="00306687" w:rsidRDefault="004667B3" w:rsidP="00306687">
      <w:pPr>
        <w:pStyle w:val="Prrafodelista"/>
        <w:spacing w:line="240" w:lineRule="auto"/>
        <w:rPr>
          <w:rFonts w:ascii="Palatino Linotype" w:hAnsi="Palatino Linotype" w:cs="Arial"/>
          <w:sz w:val="20"/>
          <w:szCs w:val="24"/>
        </w:rPr>
      </w:pPr>
    </w:p>
    <w:p w:rsidR="00DA52E0" w:rsidRDefault="0046491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sidRPr="00072966">
        <w:rPr>
          <w:rFonts w:ascii="Palatino Linotype" w:hAnsi="Palatino Linotype" w:cs="Arial"/>
          <w:sz w:val="24"/>
          <w:szCs w:val="24"/>
        </w:rPr>
        <w:t>Además de ser un Órgano Garante, somos un Órgano Revisor y en ese sentido no podemos pasar inadvertido el hecho de no analizar la totalidad de requerimientos solicitados cuando no se pronuncien al respecto, cuando sea evidente que no han sido colmados, en ese sentido no estaríamos garantizando el derecho fundamental.</w:t>
      </w:r>
    </w:p>
    <w:p w:rsidR="00477EC3" w:rsidRPr="00477EC3" w:rsidRDefault="00477EC3" w:rsidP="00477EC3">
      <w:pPr>
        <w:pStyle w:val="Prrafodelista"/>
        <w:spacing w:before="240" w:after="0" w:line="240" w:lineRule="auto"/>
        <w:ind w:left="360" w:right="49"/>
        <w:jc w:val="both"/>
        <w:rPr>
          <w:rFonts w:ascii="Palatino Linotype" w:hAnsi="Palatino Linotype" w:cs="Arial"/>
          <w:szCs w:val="24"/>
        </w:rPr>
      </w:pPr>
    </w:p>
    <w:p w:rsidR="007246D5" w:rsidRDefault="007246D5"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Pr>
          <w:rFonts w:ascii="Palatino Linotype" w:hAnsi="Palatino Linotype" w:cs="Arial"/>
          <w:sz w:val="24"/>
          <w:szCs w:val="24"/>
        </w:rPr>
        <w:t xml:space="preserve">Cabe señalar que en el caso especificó aun cuando la ponencia resolutora invocó la figura de los actos consentidos, en su análisis señaló que el Sujeto Obligado asumía contar con la información solicitada, por lo cual </w:t>
      </w:r>
      <w:r w:rsidRPr="007246D5">
        <w:rPr>
          <w:rFonts w:ascii="Palatino Linotype" w:hAnsi="Palatino Linotype" w:cs="Arial"/>
          <w:sz w:val="24"/>
          <w:szCs w:val="24"/>
        </w:rPr>
        <w:t>acepta que la genera, posee y administra, en ejercicio de sus funciones de derecho público, motivo por el cual se actualiza el supuesto jurídico, previsto en el artículo 12 de la Ley de Transparencia y Acceso a la Información Pública del Estado de México y Municipios</w:t>
      </w:r>
      <w:r>
        <w:rPr>
          <w:rFonts w:ascii="Palatino Linotype" w:hAnsi="Palatino Linotype" w:cs="Arial"/>
          <w:sz w:val="24"/>
          <w:szCs w:val="24"/>
        </w:rPr>
        <w:t xml:space="preserve">. </w:t>
      </w:r>
    </w:p>
    <w:p w:rsidR="007246D5" w:rsidRPr="00FE78B1" w:rsidRDefault="007246D5" w:rsidP="00FE78B1">
      <w:pPr>
        <w:pStyle w:val="Prrafodelista"/>
        <w:spacing w:after="0" w:line="240" w:lineRule="auto"/>
        <w:rPr>
          <w:rFonts w:ascii="Palatino Linotype" w:hAnsi="Palatino Linotype" w:cs="Arial"/>
          <w:sz w:val="18"/>
          <w:szCs w:val="24"/>
        </w:rPr>
      </w:pPr>
    </w:p>
    <w:p w:rsidR="00FE78B1" w:rsidRDefault="007246D5"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Pr>
          <w:rFonts w:ascii="Palatino Linotype" w:hAnsi="Palatino Linotype" w:cs="Arial"/>
          <w:sz w:val="24"/>
          <w:szCs w:val="24"/>
        </w:rPr>
        <w:lastRenderedPageBreak/>
        <w:t xml:space="preserve">Además, indicó que suplía </w:t>
      </w:r>
      <w:r w:rsidRPr="007246D5">
        <w:rPr>
          <w:rFonts w:ascii="Palatino Linotype" w:hAnsi="Palatino Linotype" w:cs="Arial"/>
          <w:sz w:val="24"/>
          <w:szCs w:val="24"/>
        </w:rPr>
        <w:t>la deficiencia</w:t>
      </w:r>
      <w:r w:rsidR="00FE78B1">
        <w:rPr>
          <w:rFonts w:ascii="Palatino Linotype" w:hAnsi="Palatino Linotype" w:cs="Arial"/>
          <w:sz w:val="24"/>
          <w:szCs w:val="24"/>
        </w:rPr>
        <w:t xml:space="preserve"> a favor del recurrente </w:t>
      </w:r>
      <w:r w:rsidRPr="007246D5">
        <w:rPr>
          <w:rFonts w:ascii="Palatino Linotype" w:hAnsi="Palatino Linotype" w:cs="Arial"/>
          <w:sz w:val="24"/>
          <w:szCs w:val="24"/>
        </w:rPr>
        <w:t>de conformidad con lo que establecen los artículos 13 y 181 párrafo cuarto de la Ley de Transparencia y Acceso a la Información Pública del</w:t>
      </w:r>
      <w:r w:rsidR="00FE78B1">
        <w:rPr>
          <w:rFonts w:ascii="Palatino Linotype" w:hAnsi="Palatino Linotype" w:cs="Arial"/>
          <w:sz w:val="24"/>
          <w:szCs w:val="24"/>
        </w:rPr>
        <w:t xml:space="preserve"> Estado de México y Municipios.</w:t>
      </w:r>
    </w:p>
    <w:p w:rsidR="00FE78B1" w:rsidRPr="00FE78B1" w:rsidRDefault="00FE78B1" w:rsidP="00FE78B1">
      <w:pPr>
        <w:pStyle w:val="Prrafodelista"/>
        <w:spacing w:after="0" w:line="240" w:lineRule="auto"/>
        <w:rPr>
          <w:rFonts w:ascii="Palatino Linotype" w:hAnsi="Palatino Linotype" w:cs="Arial"/>
          <w:sz w:val="20"/>
          <w:szCs w:val="24"/>
        </w:rPr>
      </w:pPr>
    </w:p>
    <w:p w:rsidR="007246D5" w:rsidRDefault="00FE78B1"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Pr>
          <w:rFonts w:ascii="Palatino Linotype" w:hAnsi="Palatino Linotype" w:cs="Arial"/>
          <w:sz w:val="24"/>
          <w:szCs w:val="24"/>
        </w:rPr>
        <w:t xml:space="preserve">Finalmente preciso que si bien </w:t>
      </w:r>
      <w:r w:rsidR="007246D5" w:rsidRPr="007246D5">
        <w:rPr>
          <w:rFonts w:ascii="Palatino Linotype" w:hAnsi="Palatino Linotype" w:cs="Arial"/>
          <w:sz w:val="24"/>
          <w:szCs w:val="24"/>
        </w:rPr>
        <w:t xml:space="preserve">el Decreto de creación del </w:t>
      </w:r>
      <w:r w:rsidRPr="007246D5">
        <w:rPr>
          <w:rFonts w:ascii="Palatino Linotype" w:hAnsi="Palatino Linotype" w:cs="Arial"/>
          <w:sz w:val="24"/>
          <w:szCs w:val="24"/>
        </w:rPr>
        <w:t xml:space="preserve">Sujeto Obligado </w:t>
      </w:r>
      <w:r w:rsidR="007246D5" w:rsidRPr="007246D5">
        <w:rPr>
          <w:rFonts w:ascii="Palatino Linotype" w:hAnsi="Palatino Linotype" w:cs="Arial"/>
          <w:sz w:val="24"/>
          <w:szCs w:val="24"/>
        </w:rPr>
        <w:t xml:space="preserve">fue publicado en fecha 13 de noviembre de 2006, en el Periódico Oficial “Gaceta del Gobierno”; </w:t>
      </w:r>
      <w:r>
        <w:rPr>
          <w:rFonts w:ascii="Palatino Linotype" w:hAnsi="Palatino Linotype" w:cs="Arial"/>
          <w:sz w:val="24"/>
          <w:szCs w:val="24"/>
        </w:rPr>
        <w:t>también lo es que</w:t>
      </w:r>
      <w:r w:rsidR="007246D5" w:rsidRPr="007246D5">
        <w:rPr>
          <w:rFonts w:ascii="Palatino Linotype" w:hAnsi="Palatino Linotype" w:cs="Arial"/>
          <w:sz w:val="24"/>
          <w:szCs w:val="24"/>
        </w:rPr>
        <w:t xml:space="preserve"> el Plan de Desarrollo Institucional 2012-2017 del propio </w:t>
      </w:r>
      <w:r w:rsidR="00D0266C" w:rsidRPr="007246D5">
        <w:rPr>
          <w:rFonts w:ascii="Palatino Linotype" w:hAnsi="Palatino Linotype" w:cs="Arial"/>
          <w:sz w:val="24"/>
          <w:szCs w:val="24"/>
        </w:rPr>
        <w:t>Sujeto Obligado</w:t>
      </w:r>
      <w:r w:rsidR="00D0266C">
        <w:rPr>
          <w:rFonts w:ascii="Palatino Linotype" w:hAnsi="Palatino Linotype" w:cs="Arial"/>
          <w:sz w:val="24"/>
          <w:szCs w:val="24"/>
        </w:rPr>
        <w:t xml:space="preserve"> fue</w:t>
      </w:r>
      <w:r w:rsidR="00D0266C" w:rsidRPr="007246D5">
        <w:rPr>
          <w:rFonts w:ascii="Palatino Linotype" w:hAnsi="Palatino Linotype" w:cs="Arial"/>
          <w:sz w:val="24"/>
          <w:szCs w:val="24"/>
        </w:rPr>
        <w:t xml:space="preserve"> </w:t>
      </w:r>
      <w:r w:rsidR="007246D5" w:rsidRPr="007246D5">
        <w:rPr>
          <w:rFonts w:ascii="Palatino Linotype" w:hAnsi="Palatino Linotype" w:cs="Arial"/>
          <w:sz w:val="24"/>
          <w:szCs w:val="24"/>
        </w:rPr>
        <w:t>publicado en febrero de 2012,</w:t>
      </w:r>
      <w:r w:rsidR="00D0266C">
        <w:rPr>
          <w:rFonts w:ascii="Palatino Linotype" w:hAnsi="Palatino Linotype" w:cs="Arial"/>
          <w:sz w:val="24"/>
          <w:szCs w:val="24"/>
        </w:rPr>
        <w:t xml:space="preserve"> en el cual </w:t>
      </w:r>
      <w:r w:rsidR="007246D5" w:rsidRPr="007246D5">
        <w:rPr>
          <w:rFonts w:ascii="Palatino Linotype" w:hAnsi="Palatino Linotype" w:cs="Arial"/>
          <w:sz w:val="24"/>
          <w:szCs w:val="24"/>
        </w:rPr>
        <w:t xml:space="preserve"> señala que Universidad Politécnica del Valle de Toluca inició sus operaciones el 11 de septiembre de 2006, con una oferta educativa inicial de diversos programas; por lo que, la entrega de información debe comprender desde dicha fecha y a la fecha de presentación de la solicitud de información de que se trata</w:t>
      </w:r>
      <w:r w:rsidR="00D0266C">
        <w:rPr>
          <w:rFonts w:ascii="Palatino Linotype" w:hAnsi="Palatino Linotype" w:cs="Arial"/>
          <w:sz w:val="24"/>
          <w:szCs w:val="24"/>
        </w:rPr>
        <w:t xml:space="preserve">. </w:t>
      </w:r>
    </w:p>
    <w:p w:rsidR="00D0266C" w:rsidRPr="00D0266C" w:rsidRDefault="00D0266C" w:rsidP="00D0266C">
      <w:pPr>
        <w:pStyle w:val="Prrafodelista"/>
        <w:rPr>
          <w:rFonts w:ascii="Palatino Linotype" w:hAnsi="Palatino Linotype" w:cs="Arial"/>
          <w:sz w:val="24"/>
          <w:szCs w:val="24"/>
        </w:rPr>
      </w:pPr>
    </w:p>
    <w:p w:rsidR="00D0266C" w:rsidRPr="00D0266C" w:rsidRDefault="00D0266C" w:rsidP="00062A8A">
      <w:pPr>
        <w:pStyle w:val="Prrafodelista"/>
        <w:numPr>
          <w:ilvl w:val="0"/>
          <w:numId w:val="1"/>
        </w:numPr>
        <w:spacing w:after="0" w:line="360" w:lineRule="auto"/>
        <w:ind w:left="0" w:right="-93" w:firstLine="0"/>
        <w:jc w:val="both"/>
        <w:rPr>
          <w:rFonts w:ascii="Palatino Linotype" w:hAnsi="Palatino Linotype" w:cs="Arial"/>
          <w:sz w:val="24"/>
          <w:szCs w:val="24"/>
        </w:rPr>
      </w:pPr>
      <w:r>
        <w:rPr>
          <w:rFonts w:ascii="Palatino Linotype" w:hAnsi="Palatino Linotype" w:cs="Arial"/>
          <w:sz w:val="24"/>
          <w:szCs w:val="24"/>
        </w:rPr>
        <w:t xml:space="preserve">En conclusión, insisto que en primer término no se </w:t>
      </w:r>
      <w:r w:rsidRPr="00D0266C">
        <w:rPr>
          <w:rFonts w:ascii="Palatino Linotype" w:hAnsi="Palatino Linotype" w:cs="Arial"/>
          <w:sz w:val="24"/>
          <w:szCs w:val="24"/>
        </w:rPr>
        <w:t xml:space="preserve">deben </w:t>
      </w:r>
      <w:r>
        <w:rPr>
          <w:rFonts w:ascii="Palatino Linotype" w:hAnsi="Palatino Linotype" w:cs="Arial"/>
          <w:sz w:val="24"/>
          <w:szCs w:val="24"/>
        </w:rPr>
        <w:t xml:space="preserve">de </w:t>
      </w:r>
      <w:r w:rsidRPr="00D0266C">
        <w:rPr>
          <w:rFonts w:ascii="Palatino Linotype" w:hAnsi="Palatino Linotype" w:cs="Arial"/>
          <w:sz w:val="24"/>
          <w:szCs w:val="24"/>
        </w:rPr>
        <w:t>invocarse</w:t>
      </w:r>
      <w:r>
        <w:rPr>
          <w:rFonts w:ascii="Palatino Linotype" w:hAnsi="Palatino Linotype" w:cs="Arial"/>
          <w:sz w:val="24"/>
          <w:szCs w:val="24"/>
        </w:rPr>
        <w:t xml:space="preserve"> la figura de los actos consentidos</w:t>
      </w:r>
      <w:r w:rsidRPr="00D0266C">
        <w:rPr>
          <w:rFonts w:ascii="Palatino Linotype" w:hAnsi="Palatino Linotype" w:cs="Arial"/>
          <w:sz w:val="24"/>
          <w:szCs w:val="24"/>
        </w:rPr>
        <w:t xml:space="preserve"> en el derecho de </w:t>
      </w:r>
      <w:r>
        <w:rPr>
          <w:rFonts w:ascii="Palatino Linotype" w:hAnsi="Palatino Linotype" w:cs="Arial"/>
          <w:sz w:val="24"/>
          <w:szCs w:val="24"/>
        </w:rPr>
        <w:t>acceso a la información pública, aunado a que en el caso en particular se realizó el estudio de fondo de la solicitud de información</w:t>
      </w:r>
      <w:r w:rsidR="00ED640F">
        <w:rPr>
          <w:rFonts w:ascii="Palatino Linotype" w:hAnsi="Palatino Linotype" w:cs="Arial"/>
          <w:sz w:val="24"/>
          <w:szCs w:val="24"/>
        </w:rPr>
        <w:t>.</w:t>
      </w:r>
    </w:p>
    <w:p w:rsidR="00DA52E0" w:rsidRPr="00062A8A" w:rsidRDefault="00DA52E0" w:rsidP="00DA52E0">
      <w:pPr>
        <w:spacing w:after="0" w:line="360" w:lineRule="auto"/>
        <w:contextualSpacing/>
        <w:jc w:val="both"/>
        <w:rPr>
          <w:rFonts w:ascii="Palatino Linotype" w:hAnsi="Palatino Linotype" w:cs="Arial"/>
          <w:color w:val="000000" w:themeColor="text1"/>
          <w:sz w:val="18"/>
          <w:szCs w:val="24"/>
        </w:rPr>
      </w:pPr>
    </w:p>
    <w:p w:rsidR="00DA52E0" w:rsidRPr="006B5B33" w:rsidRDefault="00DA52E0" w:rsidP="00DA52E0">
      <w:pPr>
        <w:spacing w:after="0" w:line="360" w:lineRule="auto"/>
        <w:contextualSpacing/>
        <w:jc w:val="both"/>
        <w:rPr>
          <w:rFonts w:ascii="Palatino Linotype" w:hAnsi="Palatino Linotype" w:cs="Arial"/>
          <w:color w:val="000000" w:themeColor="text1"/>
          <w:szCs w:val="24"/>
        </w:rPr>
      </w:pPr>
    </w:p>
    <w:p w:rsidR="00DA52E0" w:rsidRPr="004F0E90" w:rsidRDefault="00DA52E0" w:rsidP="00062A8A">
      <w:pPr>
        <w:spacing w:line="360" w:lineRule="auto"/>
        <w:jc w:val="center"/>
        <w:rPr>
          <w:rFonts w:ascii="Palatino Linotype" w:eastAsia="Calibri" w:hAnsi="Palatino Linotype" w:cs="Arial"/>
          <w:b/>
          <w:color w:val="000000" w:themeColor="text1"/>
          <w:sz w:val="24"/>
          <w:szCs w:val="24"/>
        </w:rPr>
      </w:pPr>
      <w:r w:rsidRPr="004F0E90">
        <w:rPr>
          <w:rFonts w:ascii="Palatino Linotype" w:eastAsia="Calibri" w:hAnsi="Palatino Linotype" w:cs="Arial"/>
          <w:b/>
          <w:color w:val="000000" w:themeColor="text1"/>
          <w:sz w:val="24"/>
          <w:szCs w:val="24"/>
        </w:rPr>
        <w:t>JOSÉ GUADALUPE LUNA HERNÁNDEZ</w:t>
      </w:r>
    </w:p>
    <w:p w:rsidR="00DA52E0" w:rsidRDefault="00DA52E0" w:rsidP="00062A8A">
      <w:pPr>
        <w:spacing w:line="360" w:lineRule="auto"/>
        <w:jc w:val="center"/>
        <w:rPr>
          <w:rFonts w:ascii="Palatino Linotype" w:eastAsia="Calibri" w:hAnsi="Palatino Linotype" w:cs="Arial"/>
          <w:b/>
          <w:color w:val="000000" w:themeColor="text1"/>
          <w:sz w:val="24"/>
          <w:szCs w:val="24"/>
        </w:rPr>
      </w:pPr>
      <w:r w:rsidRPr="004F0E90">
        <w:rPr>
          <w:rFonts w:ascii="Palatino Linotype" w:eastAsia="Calibri" w:hAnsi="Palatino Linotype" w:cs="Arial"/>
          <w:b/>
          <w:color w:val="000000" w:themeColor="text1"/>
          <w:sz w:val="24"/>
          <w:szCs w:val="24"/>
        </w:rPr>
        <w:t>COMISIONADO</w:t>
      </w:r>
    </w:p>
    <w:p w:rsidR="00062A8A" w:rsidRDefault="00DA52E0" w:rsidP="00062A8A">
      <w:pPr>
        <w:spacing w:line="360" w:lineRule="auto"/>
        <w:jc w:val="center"/>
        <w:rPr>
          <w:rFonts w:ascii="Palatino Linotype" w:eastAsia="Calibri" w:hAnsi="Palatino Linotype" w:cs="Arial"/>
          <w:b/>
          <w:color w:val="000000" w:themeColor="text1"/>
          <w:sz w:val="24"/>
          <w:szCs w:val="24"/>
        </w:rPr>
      </w:pPr>
      <w:r>
        <w:rPr>
          <w:rFonts w:ascii="Palatino Linotype" w:eastAsia="Calibri" w:hAnsi="Palatino Linotype" w:cs="Arial"/>
          <w:b/>
          <w:color w:val="000000" w:themeColor="text1"/>
          <w:sz w:val="24"/>
          <w:szCs w:val="24"/>
        </w:rPr>
        <w:t>(</w:t>
      </w:r>
      <w:r w:rsidR="00477EC3">
        <w:rPr>
          <w:rFonts w:ascii="Palatino Linotype" w:eastAsia="Calibri" w:hAnsi="Palatino Linotype" w:cs="Arial"/>
          <w:b/>
          <w:color w:val="000000" w:themeColor="text1"/>
          <w:sz w:val="24"/>
          <w:szCs w:val="24"/>
        </w:rPr>
        <w:t>Rúbrica</w:t>
      </w:r>
      <w:r>
        <w:rPr>
          <w:rFonts w:ascii="Palatino Linotype" w:eastAsia="Calibri" w:hAnsi="Palatino Linotype" w:cs="Arial"/>
          <w:b/>
          <w:color w:val="000000" w:themeColor="text1"/>
          <w:sz w:val="24"/>
          <w:szCs w:val="24"/>
        </w:rPr>
        <w:t>)</w:t>
      </w:r>
    </w:p>
    <w:p w:rsidR="00DA52E0" w:rsidRPr="002E4D49" w:rsidRDefault="00DA52E0" w:rsidP="00062A8A">
      <w:pPr>
        <w:spacing w:line="360" w:lineRule="auto"/>
        <w:rPr>
          <w:rFonts w:ascii="Palatino Linotype" w:hAnsi="Palatino Linotype"/>
          <w:b/>
          <w:sz w:val="18"/>
        </w:rPr>
      </w:pPr>
      <w:r w:rsidRPr="002E4D49">
        <w:rPr>
          <w:rFonts w:ascii="Palatino Linotype" w:eastAsia="Calibri" w:hAnsi="Palatino Linotype" w:cs="Arial"/>
          <w:b/>
          <w:color w:val="000000" w:themeColor="text1"/>
          <w:sz w:val="18"/>
          <w:szCs w:val="24"/>
        </w:rPr>
        <w:t>JGLH/MAG</w:t>
      </w:r>
    </w:p>
    <w:sectPr w:rsidR="00DA52E0" w:rsidRPr="002E4D49" w:rsidSect="0000171F">
      <w:headerReference w:type="even" r:id="rId11"/>
      <w:headerReference w:type="default" r:id="rId12"/>
      <w:footerReference w:type="even" r:id="rId13"/>
      <w:footerReference w:type="default" r:id="rId14"/>
      <w:headerReference w:type="first" r:id="rId15"/>
      <w:footerReference w:type="first" r:id="rId16"/>
      <w:pgSz w:w="12240" w:h="15840" w:code="1"/>
      <w:pgMar w:top="2438" w:right="1701" w:bottom="243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A33" w:rsidRDefault="00B03A33" w:rsidP="00E706DA">
      <w:pPr>
        <w:spacing w:after="0" w:line="240" w:lineRule="auto"/>
      </w:pPr>
      <w:r>
        <w:separator/>
      </w:r>
    </w:p>
  </w:endnote>
  <w:endnote w:type="continuationSeparator" w:id="0">
    <w:p w:rsidR="00B03A33" w:rsidRDefault="00B03A33" w:rsidP="00E70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8D8" w:rsidRDefault="00B03A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465616"/>
      <w:docPartObj>
        <w:docPartGallery w:val="Page Numbers (Bottom of Page)"/>
        <w:docPartUnique/>
      </w:docPartObj>
    </w:sdtPr>
    <w:sdtEndPr/>
    <w:sdtContent>
      <w:sdt>
        <w:sdtPr>
          <w:id w:val="1012499541"/>
          <w:docPartObj>
            <w:docPartGallery w:val="Page Numbers (Top of Page)"/>
            <w:docPartUnique/>
          </w:docPartObj>
        </w:sdtPr>
        <w:sdtEndPr/>
        <w:sdtContent>
          <w:p w:rsidR="0052203D" w:rsidRDefault="00073F0D">
            <w:pPr>
              <w:pStyle w:val="Piedepgina"/>
              <w:jc w:val="right"/>
            </w:pPr>
            <w:r w:rsidRPr="0052203D">
              <w:rPr>
                <w:rFonts w:ascii="Palatino Linotype" w:hAnsi="Palatino Linotype"/>
                <w:sz w:val="20"/>
                <w:szCs w:val="20"/>
                <w:lang w:val="es-ES"/>
              </w:rPr>
              <w:t xml:space="preserve">Página </w:t>
            </w:r>
            <w:r w:rsidRPr="0052203D">
              <w:rPr>
                <w:rFonts w:ascii="Palatino Linotype" w:hAnsi="Palatino Linotype"/>
                <w:b/>
                <w:bCs/>
                <w:sz w:val="20"/>
                <w:szCs w:val="20"/>
              </w:rPr>
              <w:fldChar w:fldCharType="begin"/>
            </w:r>
            <w:r w:rsidRPr="0052203D">
              <w:rPr>
                <w:rFonts w:ascii="Palatino Linotype" w:hAnsi="Palatino Linotype"/>
                <w:b/>
                <w:bCs/>
                <w:sz w:val="20"/>
                <w:szCs w:val="20"/>
              </w:rPr>
              <w:instrText>PAGE</w:instrText>
            </w:r>
            <w:r w:rsidRPr="0052203D">
              <w:rPr>
                <w:rFonts w:ascii="Palatino Linotype" w:hAnsi="Palatino Linotype"/>
                <w:b/>
                <w:bCs/>
                <w:sz w:val="20"/>
                <w:szCs w:val="20"/>
              </w:rPr>
              <w:fldChar w:fldCharType="separate"/>
            </w:r>
            <w:r w:rsidR="008063CB">
              <w:rPr>
                <w:rFonts w:ascii="Palatino Linotype" w:hAnsi="Palatino Linotype"/>
                <w:b/>
                <w:bCs/>
                <w:noProof/>
                <w:sz w:val="20"/>
                <w:szCs w:val="20"/>
              </w:rPr>
              <w:t>6</w:t>
            </w:r>
            <w:r w:rsidRPr="0052203D">
              <w:rPr>
                <w:rFonts w:ascii="Palatino Linotype" w:hAnsi="Palatino Linotype"/>
                <w:b/>
                <w:bCs/>
                <w:sz w:val="20"/>
                <w:szCs w:val="20"/>
              </w:rPr>
              <w:fldChar w:fldCharType="end"/>
            </w:r>
            <w:r w:rsidRPr="0052203D">
              <w:rPr>
                <w:rFonts w:ascii="Palatino Linotype" w:hAnsi="Palatino Linotype"/>
                <w:sz w:val="20"/>
                <w:szCs w:val="20"/>
                <w:lang w:val="es-ES"/>
              </w:rPr>
              <w:t xml:space="preserve"> de </w:t>
            </w:r>
            <w:r w:rsidRPr="0052203D">
              <w:rPr>
                <w:rFonts w:ascii="Palatino Linotype" w:hAnsi="Palatino Linotype"/>
                <w:b/>
                <w:bCs/>
                <w:sz w:val="20"/>
                <w:szCs w:val="20"/>
              </w:rPr>
              <w:fldChar w:fldCharType="begin"/>
            </w:r>
            <w:r w:rsidRPr="0052203D">
              <w:rPr>
                <w:rFonts w:ascii="Palatino Linotype" w:hAnsi="Palatino Linotype"/>
                <w:b/>
                <w:bCs/>
                <w:sz w:val="20"/>
                <w:szCs w:val="20"/>
              </w:rPr>
              <w:instrText>NUMPAGES</w:instrText>
            </w:r>
            <w:r w:rsidRPr="0052203D">
              <w:rPr>
                <w:rFonts w:ascii="Palatino Linotype" w:hAnsi="Palatino Linotype"/>
                <w:b/>
                <w:bCs/>
                <w:sz w:val="20"/>
                <w:szCs w:val="20"/>
              </w:rPr>
              <w:fldChar w:fldCharType="separate"/>
            </w:r>
            <w:r w:rsidR="008063CB">
              <w:rPr>
                <w:rFonts w:ascii="Palatino Linotype" w:hAnsi="Palatino Linotype"/>
                <w:b/>
                <w:bCs/>
                <w:noProof/>
                <w:sz w:val="20"/>
                <w:szCs w:val="20"/>
              </w:rPr>
              <w:t>17</w:t>
            </w:r>
            <w:r w:rsidRPr="0052203D">
              <w:rPr>
                <w:rFonts w:ascii="Palatino Linotype" w:hAnsi="Palatino Linotype"/>
                <w:b/>
                <w:bCs/>
                <w:sz w:val="20"/>
                <w:szCs w:val="20"/>
              </w:rPr>
              <w:fldChar w:fldCharType="end"/>
            </w:r>
          </w:p>
        </w:sdtContent>
      </w:sdt>
    </w:sdtContent>
  </w:sdt>
  <w:p w:rsidR="00951E8B" w:rsidRDefault="00B03A3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8D8" w:rsidRDefault="00B03A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A33" w:rsidRDefault="00B03A33" w:rsidP="00E706DA">
      <w:pPr>
        <w:spacing w:after="0" w:line="240" w:lineRule="auto"/>
      </w:pPr>
      <w:r>
        <w:separator/>
      </w:r>
    </w:p>
  </w:footnote>
  <w:footnote w:type="continuationSeparator" w:id="0">
    <w:p w:rsidR="00B03A33" w:rsidRDefault="00B03A33" w:rsidP="00E706DA">
      <w:pPr>
        <w:spacing w:after="0" w:line="240" w:lineRule="auto"/>
      </w:pPr>
      <w:r>
        <w:continuationSeparator/>
      </w:r>
    </w:p>
  </w:footnote>
  <w:footnote w:id="1">
    <w:p w:rsidR="0046491C" w:rsidRDefault="0046491C" w:rsidP="0046491C">
      <w:pPr>
        <w:pStyle w:val="Textonotapie"/>
      </w:pPr>
      <w:r>
        <w:rPr>
          <w:rStyle w:val="Refdenotaalpie"/>
        </w:rPr>
        <w:footnoteRef/>
      </w:r>
      <w:r>
        <w:t xml:space="preserve"> Instituto de Investigaciones Jurídicas. </w:t>
      </w:r>
      <w:r w:rsidRPr="00C775C0">
        <w:rPr>
          <w:i/>
        </w:rPr>
        <w:t>Diccionario Jurídico Mexicano.</w:t>
      </w:r>
      <w:r>
        <w:t xml:space="preserve"> México, </w:t>
      </w:r>
      <w:proofErr w:type="spellStart"/>
      <w:r>
        <w:t>Coed</w:t>
      </w:r>
      <w:proofErr w:type="spellEnd"/>
      <w:r>
        <w:t>. Porrúa e Instituto de Investigaciones Jurídicas de la UNAM, 2001. Pág. 3593.</w:t>
      </w:r>
    </w:p>
  </w:footnote>
  <w:footnote w:id="2">
    <w:p w:rsidR="0046491C" w:rsidRDefault="0046491C" w:rsidP="0046491C">
      <w:pPr>
        <w:pStyle w:val="Textonotapie"/>
      </w:pPr>
      <w:r>
        <w:rPr>
          <w:rStyle w:val="Refdenotaalpie"/>
        </w:rPr>
        <w:footnoteRef/>
      </w:r>
      <w:r>
        <w:t xml:space="preserve"> </w:t>
      </w:r>
      <w:r w:rsidRPr="00C775C0">
        <w:rPr>
          <w:i/>
        </w:rPr>
        <w:t>Ibídem</w:t>
      </w:r>
      <w:r>
        <w:t>. Pág. 3594.</w:t>
      </w:r>
    </w:p>
  </w:footnote>
  <w:footnote w:id="3">
    <w:p w:rsidR="0046491C" w:rsidRDefault="0046491C" w:rsidP="0046491C">
      <w:pPr>
        <w:pStyle w:val="Textonotapie"/>
        <w:jc w:val="both"/>
      </w:pPr>
      <w:r>
        <w:rPr>
          <w:rStyle w:val="Refdenotaalpie"/>
        </w:rPr>
        <w:footnoteRef/>
      </w:r>
      <w:r>
        <w:t xml:space="preserve"> CARBONELL, MIGUEL. “Las obligaciones del Estado en el artículo 1º. de la Constitución mexicana” en CARBONELL, Miguel y SALAZAR, Pedro, </w:t>
      </w:r>
      <w:proofErr w:type="spellStart"/>
      <w:r>
        <w:t>coords</w:t>
      </w:r>
      <w:proofErr w:type="spellEnd"/>
      <w:r>
        <w:t xml:space="preserve">. La reforma constitucional de derechos humanos. 2ª. Edición, México. </w:t>
      </w:r>
      <w:proofErr w:type="spellStart"/>
      <w:r>
        <w:t>Coed</w:t>
      </w:r>
      <w:proofErr w:type="spellEnd"/>
      <w:r>
        <w:t>. Porrúa e Instituto de Investigaciones Jurídicas de la UNAM, 2012. Pág. 68.</w:t>
      </w:r>
    </w:p>
  </w:footnote>
  <w:footnote w:id="4">
    <w:p w:rsidR="0046491C" w:rsidRDefault="0046491C" w:rsidP="0046491C">
      <w:pPr>
        <w:pStyle w:val="Textonotapie"/>
      </w:pPr>
      <w:r>
        <w:rPr>
          <w:rStyle w:val="Refdenotaalpie"/>
        </w:rPr>
        <w:footnoteRef/>
      </w:r>
      <w:r>
        <w:t xml:space="preserve"> </w:t>
      </w:r>
      <w:proofErr w:type="spellStart"/>
      <w:r>
        <w:t>COTTA</w:t>
      </w:r>
      <w:proofErr w:type="spellEnd"/>
      <w:r>
        <w:t xml:space="preserve">, Sergio. </w:t>
      </w:r>
      <w:r w:rsidRPr="00F50476">
        <w:rPr>
          <w:i/>
        </w:rPr>
        <w:t>Justificación y obligatoriedad de las normas.</w:t>
      </w:r>
      <w:r>
        <w:t xml:space="preserve"> Madrid. Ed. </w:t>
      </w:r>
      <w:proofErr w:type="spellStart"/>
      <w:r>
        <w:t>Ceura</w:t>
      </w:r>
      <w:proofErr w:type="spellEnd"/>
      <w:r>
        <w:t>, 1987. Pág. 10.</w:t>
      </w:r>
    </w:p>
  </w:footnote>
  <w:footnote w:id="5">
    <w:p w:rsidR="0046491C" w:rsidRDefault="0046491C" w:rsidP="0046491C">
      <w:pPr>
        <w:pStyle w:val="Textonotapie"/>
      </w:pPr>
      <w:r>
        <w:rPr>
          <w:rStyle w:val="Refdenotaalpie"/>
        </w:rPr>
        <w:footnoteRef/>
      </w:r>
      <w:r>
        <w:t xml:space="preserve"> </w:t>
      </w:r>
      <w:proofErr w:type="spellStart"/>
      <w:r>
        <w:t>Zagrebelsky</w:t>
      </w:r>
      <w:proofErr w:type="spellEnd"/>
      <w:r>
        <w:t xml:space="preserve">, Gustavo. </w:t>
      </w:r>
      <w:r w:rsidRPr="00F50476">
        <w:rPr>
          <w:i/>
        </w:rPr>
        <w:t>El derecho dúctil. Ley, derechos, justicia.</w:t>
      </w:r>
      <w:r>
        <w:t xml:space="preserve"> Trad. Marina Gascón, 10ª. Edición, Madrid, Ed. Trota, 2011. Pág. 40.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7A" w:rsidRDefault="00B03A3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766" o:spid="_x0000_s2050" type="#_x0000_t136" style="position:absolute;margin-left:0;margin-top:0;width:541.8pt;height:81.25pt;rotation:315;z-index:-251656192;mso-position-horizontal:center;mso-position-horizontal-relative:margin;mso-position-vertical:center;mso-position-vertical-relative:margin" o:allowincell="f" fillcolor="silver"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7A" w:rsidRDefault="00B03A3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767" o:spid="_x0000_s2051" type="#_x0000_t136" style="position:absolute;margin-left:0;margin-top:0;width:541.8pt;height:81.25pt;rotation:315;z-index:-251655168;mso-position-horizontal:center;mso-position-horizontal-relative:margin;mso-position-vertical:center;mso-position-vertical-relative:margin" o:allowincell="f" fillcolor="silver" stroked="f">
          <v:fill opacity=".5"/>
          <v:textpath style="font-family:&quot;Palatino Linotype&quot;;font-size:1pt" string="VOTO PARTICULAR"/>
          <w10:wrap anchorx="margin" anchory="margin"/>
        </v:shape>
      </w:pict>
    </w:r>
  </w:p>
  <w:p w:rsidR="0050137A" w:rsidRDefault="00B03A3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7A" w:rsidRDefault="00B03A3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765" o:spid="_x0000_s2049" type="#_x0000_t136" style="position:absolute;margin-left:0;margin-top:0;width:541.8pt;height:81.25pt;rotation:315;z-index:-251658240;mso-position-horizontal:center;mso-position-horizontal-relative:margin;mso-position-vertical:center;mso-position-vertical-relative:margin" o:allowincell="f" fillcolor="silver"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0307"/>
    <w:multiLevelType w:val="hybridMultilevel"/>
    <w:tmpl w:val="BE16E4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86B75"/>
    <w:multiLevelType w:val="hybridMultilevel"/>
    <w:tmpl w:val="72103102"/>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 w15:restartNumberingAfterBreak="0">
    <w:nsid w:val="099012DE"/>
    <w:multiLevelType w:val="hybridMultilevel"/>
    <w:tmpl w:val="EA74E3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89530D"/>
    <w:multiLevelType w:val="hybridMultilevel"/>
    <w:tmpl w:val="15584D4E"/>
    <w:lvl w:ilvl="0" w:tplc="A7BC82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022D3A"/>
    <w:multiLevelType w:val="hybridMultilevel"/>
    <w:tmpl w:val="F56E487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182A35BD"/>
    <w:multiLevelType w:val="hybridMultilevel"/>
    <w:tmpl w:val="DBA045F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19B85689"/>
    <w:multiLevelType w:val="hybridMultilevel"/>
    <w:tmpl w:val="19D2FD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A965F9"/>
    <w:multiLevelType w:val="hybridMultilevel"/>
    <w:tmpl w:val="0768A1EC"/>
    <w:lvl w:ilvl="0" w:tplc="9560166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4A0C7A"/>
    <w:multiLevelType w:val="hybridMultilevel"/>
    <w:tmpl w:val="642EA64C"/>
    <w:lvl w:ilvl="0" w:tplc="224E67B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E316A1"/>
    <w:multiLevelType w:val="hybridMultilevel"/>
    <w:tmpl w:val="B910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3E5810"/>
    <w:multiLevelType w:val="hybridMultilevel"/>
    <w:tmpl w:val="A23C67D2"/>
    <w:lvl w:ilvl="0" w:tplc="CACA3A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E679B9"/>
    <w:multiLevelType w:val="hybridMultilevel"/>
    <w:tmpl w:val="D2A20FB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1661F8"/>
    <w:multiLevelType w:val="hybridMultilevel"/>
    <w:tmpl w:val="87F424B2"/>
    <w:lvl w:ilvl="0" w:tplc="228CA8A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A846AA"/>
    <w:multiLevelType w:val="hybridMultilevel"/>
    <w:tmpl w:val="7842D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4C424AC2"/>
    <w:multiLevelType w:val="hybridMultilevel"/>
    <w:tmpl w:val="254C39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4A3428"/>
    <w:multiLevelType w:val="hybridMultilevel"/>
    <w:tmpl w:val="CD42EC9E"/>
    <w:lvl w:ilvl="0" w:tplc="E8D6F5EE">
      <w:start w:val="4"/>
      <w:numFmt w:val="upperRoman"/>
      <w:lvlText w:val="%1."/>
      <w:lvlJc w:val="left"/>
      <w:pPr>
        <w:ind w:left="1080" w:hanging="720"/>
      </w:pPr>
      <w:rPr>
        <w:rFonts w:ascii="Palatino Linotype" w:eastAsiaTheme="majorEastAsia" w:hAnsi="Palatino Linotype" w:cstheme="majorBidi"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910C6E"/>
    <w:multiLevelType w:val="hybridMultilevel"/>
    <w:tmpl w:val="E14A8AFA"/>
    <w:lvl w:ilvl="0" w:tplc="9808DF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537B6A"/>
    <w:multiLevelType w:val="hybridMultilevel"/>
    <w:tmpl w:val="80C6A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5C6E328E"/>
    <w:multiLevelType w:val="hybridMultilevel"/>
    <w:tmpl w:val="47420AA0"/>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609E516D"/>
    <w:multiLevelType w:val="hybridMultilevel"/>
    <w:tmpl w:val="F3ACD5A0"/>
    <w:lvl w:ilvl="0" w:tplc="080A0011">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4" w15:restartNumberingAfterBreak="0">
    <w:nsid w:val="6205152E"/>
    <w:multiLevelType w:val="hybridMultilevel"/>
    <w:tmpl w:val="5D668F4E"/>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5" w15:restartNumberingAfterBreak="0">
    <w:nsid w:val="64461376"/>
    <w:multiLevelType w:val="hybridMultilevel"/>
    <w:tmpl w:val="7BA863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152896"/>
    <w:multiLevelType w:val="hybridMultilevel"/>
    <w:tmpl w:val="20E43D0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6FBE1657"/>
    <w:multiLevelType w:val="hybridMultilevel"/>
    <w:tmpl w:val="943A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360720"/>
    <w:multiLevelType w:val="hybridMultilevel"/>
    <w:tmpl w:val="ED2A17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A40145"/>
    <w:multiLevelType w:val="hybridMultilevel"/>
    <w:tmpl w:val="A914E30C"/>
    <w:lvl w:ilvl="0" w:tplc="1460E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B04662"/>
    <w:multiLevelType w:val="hybridMultilevel"/>
    <w:tmpl w:val="BE5A3E0E"/>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
  </w:num>
  <w:num w:numId="3">
    <w:abstractNumId w:val="10"/>
  </w:num>
  <w:num w:numId="4">
    <w:abstractNumId w:val="14"/>
  </w:num>
  <w:num w:numId="5">
    <w:abstractNumId w:val="18"/>
  </w:num>
  <w:num w:numId="6">
    <w:abstractNumId w:val="20"/>
  </w:num>
  <w:num w:numId="7">
    <w:abstractNumId w:val="27"/>
  </w:num>
  <w:num w:numId="8">
    <w:abstractNumId w:val="26"/>
  </w:num>
  <w:num w:numId="9">
    <w:abstractNumId w:val="31"/>
  </w:num>
  <w:num w:numId="10">
    <w:abstractNumId w:val="3"/>
  </w:num>
  <w:num w:numId="11">
    <w:abstractNumId w:val="30"/>
  </w:num>
  <w:num w:numId="12">
    <w:abstractNumId w:val="12"/>
  </w:num>
  <w:num w:numId="13">
    <w:abstractNumId w:val="5"/>
  </w:num>
  <w:num w:numId="14">
    <w:abstractNumId w:val="9"/>
  </w:num>
  <w:num w:numId="15">
    <w:abstractNumId w:val="21"/>
  </w:num>
  <w:num w:numId="16">
    <w:abstractNumId w:val="0"/>
  </w:num>
  <w:num w:numId="17">
    <w:abstractNumId w:val="4"/>
  </w:num>
  <w:num w:numId="18">
    <w:abstractNumId w:val="34"/>
  </w:num>
  <w:num w:numId="19">
    <w:abstractNumId w:val="7"/>
  </w:num>
  <w:num w:numId="20">
    <w:abstractNumId w:val="25"/>
  </w:num>
  <w:num w:numId="21">
    <w:abstractNumId w:val="17"/>
  </w:num>
  <w:num w:numId="22">
    <w:abstractNumId w:val="16"/>
  </w:num>
  <w:num w:numId="23">
    <w:abstractNumId w:val="6"/>
  </w:num>
  <w:num w:numId="24">
    <w:abstractNumId w:val="15"/>
  </w:num>
  <w:num w:numId="25">
    <w:abstractNumId w:val="28"/>
  </w:num>
  <w:num w:numId="26">
    <w:abstractNumId w:val="22"/>
  </w:num>
  <w:num w:numId="27">
    <w:abstractNumId w:val="1"/>
  </w:num>
  <w:num w:numId="28">
    <w:abstractNumId w:val="33"/>
  </w:num>
  <w:num w:numId="29">
    <w:abstractNumId w:val="13"/>
  </w:num>
  <w:num w:numId="30">
    <w:abstractNumId w:val="24"/>
  </w:num>
  <w:num w:numId="31">
    <w:abstractNumId w:val="8"/>
  </w:num>
  <w:num w:numId="32">
    <w:abstractNumId w:val="32"/>
  </w:num>
  <w:num w:numId="33">
    <w:abstractNumId w:val="29"/>
  </w:num>
  <w:num w:numId="34">
    <w:abstractNumId w:val="11"/>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DA"/>
    <w:rsid w:val="0000171F"/>
    <w:rsid w:val="0000525F"/>
    <w:rsid w:val="0001046D"/>
    <w:rsid w:val="00010ED0"/>
    <w:rsid w:val="0003585D"/>
    <w:rsid w:val="00062A8A"/>
    <w:rsid w:val="0006605E"/>
    <w:rsid w:val="00072966"/>
    <w:rsid w:val="00073F0D"/>
    <w:rsid w:val="000765C4"/>
    <w:rsid w:val="000810AB"/>
    <w:rsid w:val="000951B4"/>
    <w:rsid w:val="000A3369"/>
    <w:rsid w:val="000A77B5"/>
    <w:rsid w:val="000A7B66"/>
    <w:rsid w:val="000B2003"/>
    <w:rsid w:val="000B7C6E"/>
    <w:rsid w:val="000D7900"/>
    <w:rsid w:val="000F6CBB"/>
    <w:rsid w:val="00122625"/>
    <w:rsid w:val="00143343"/>
    <w:rsid w:val="001455FC"/>
    <w:rsid w:val="0015651D"/>
    <w:rsid w:val="00164F1E"/>
    <w:rsid w:val="001754A4"/>
    <w:rsid w:val="001923C0"/>
    <w:rsid w:val="00194B6A"/>
    <w:rsid w:val="001B664C"/>
    <w:rsid w:val="001D3F34"/>
    <w:rsid w:val="001F1A7B"/>
    <w:rsid w:val="0020315F"/>
    <w:rsid w:val="002036ED"/>
    <w:rsid w:val="00213D56"/>
    <w:rsid w:val="00225026"/>
    <w:rsid w:val="002372DA"/>
    <w:rsid w:val="00260D6C"/>
    <w:rsid w:val="002620E9"/>
    <w:rsid w:val="002624B2"/>
    <w:rsid w:val="002779B4"/>
    <w:rsid w:val="00281310"/>
    <w:rsid w:val="002C0734"/>
    <w:rsid w:val="002C1F75"/>
    <w:rsid w:val="002D4C34"/>
    <w:rsid w:val="002E4D49"/>
    <w:rsid w:val="002F000B"/>
    <w:rsid w:val="00300B98"/>
    <w:rsid w:val="00306687"/>
    <w:rsid w:val="00346DBD"/>
    <w:rsid w:val="00367E00"/>
    <w:rsid w:val="003705BB"/>
    <w:rsid w:val="003747A5"/>
    <w:rsid w:val="003750D1"/>
    <w:rsid w:val="003C7100"/>
    <w:rsid w:val="003C7244"/>
    <w:rsid w:val="003C780E"/>
    <w:rsid w:val="003D7B9E"/>
    <w:rsid w:val="0040354A"/>
    <w:rsid w:val="00412952"/>
    <w:rsid w:val="0042345D"/>
    <w:rsid w:val="00424DE3"/>
    <w:rsid w:val="00444048"/>
    <w:rsid w:val="00453F0A"/>
    <w:rsid w:val="00460A07"/>
    <w:rsid w:val="0046491C"/>
    <w:rsid w:val="004667B3"/>
    <w:rsid w:val="00477EC3"/>
    <w:rsid w:val="004802BA"/>
    <w:rsid w:val="0048490F"/>
    <w:rsid w:val="0049058E"/>
    <w:rsid w:val="00532410"/>
    <w:rsid w:val="00546812"/>
    <w:rsid w:val="005527D5"/>
    <w:rsid w:val="00567EC1"/>
    <w:rsid w:val="00575478"/>
    <w:rsid w:val="00587A4C"/>
    <w:rsid w:val="005917BE"/>
    <w:rsid w:val="005A15E9"/>
    <w:rsid w:val="005A3267"/>
    <w:rsid w:val="005D79D3"/>
    <w:rsid w:val="005F54C5"/>
    <w:rsid w:val="00616B05"/>
    <w:rsid w:val="006239A7"/>
    <w:rsid w:val="00634736"/>
    <w:rsid w:val="0065200E"/>
    <w:rsid w:val="006728FD"/>
    <w:rsid w:val="0069498B"/>
    <w:rsid w:val="006D268B"/>
    <w:rsid w:val="006D5C90"/>
    <w:rsid w:val="00717C0D"/>
    <w:rsid w:val="0072058F"/>
    <w:rsid w:val="0072136B"/>
    <w:rsid w:val="007246D5"/>
    <w:rsid w:val="007343BB"/>
    <w:rsid w:val="00746812"/>
    <w:rsid w:val="0075096F"/>
    <w:rsid w:val="0076241F"/>
    <w:rsid w:val="00770016"/>
    <w:rsid w:val="00783716"/>
    <w:rsid w:val="007879C6"/>
    <w:rsid w:val="00790E37"/>
    <w:rsid w:val="007A378A"/>
    <w:rsid w:val="007A7FAD"/>
    <w:rsid w:val="007E3EA9"/>
    <w:rsid w:val="008063CB"/>
    <w:rsid w:val="00814A43"/>
    <w:rsid w:val="00814E97"/>
    <w:rsid w:val="008361CA"/>
    <w:rsid w:val="008370F1"/>
    <w:rsid w:val="00850252"/>
    <w:rsid w:val="00850A2F"/>
    <w:rsid w:val="00856FA1"/>
    <w:rsid w:val="00872522"/>
    <w:rsid w:val="008822B3"/>
    <w:rsid w:val="008911CF"/>
    <w:rsid w:val="00891C13"/>
    <w:rsid w:val="008920A8"/>
    <w:rsid w:val="008A3D2D"/>
    <w:rsid w:val="008B03B6"/>
    <w:rsid w:val="008D57F6"/>
    <w:rsid w:val="008E1DCC"/>
    <w:rsid w:val="008F3E81"/>
    <w:rsid w:val="00900E75"/>
    <w:rsid w:val="00902248"/>
    <w:rsid w:val="009156AC"/>
    <w:rsid w:val="0093177C"/>
    <w:rsid w:val="00933200"/>
    <w:rsid w:val="0093458D"/>
    <w:rsid w:val="00937D7D"/>
    <w:rsid w:val="0094239C"/>
    <w:rsid w:val="0095525C"/>
    <w:rsid w:val="0097582C"/>
    <w:rsid w:val="00987663"/>
    <w:rsid w:val="009C43B4"/>
    <w:rsid w:val="009C4EF6"/>
    <w:rsid w:val="00A07EF4"/>
    <w:rsid w:val="00A10B30"/>
    <w:rsid w:val="00A26E97"/>
    <w:rsid w:val="00A31633"/>
    <w:rsid w:val="00A54D9D"/>
    <w:rsid w:val="00A626F8"/>
    <w:rsid w:val="00A63717"/>
    <w:rsid w:val="00A80A1A"/>
    <w:rsid w:val="00AA49F3"/>
    <w:rsid w:val="00AB023D"/>
    <w:rsid w:val="00AB126B"/>
    <w:rsid w:val="00AC381E"/>
    <w:rsid w:val="00AC430A"/>
    <w:rsid w:val="00AD16A9"/>
    <w:rsid w:val="00AE4797"/>
    <w:rsid w:val="00B03A33"/>
    <w:rsid w:val="00B120CA"/>
    <w:rsid w:val="00B56CFE"/>
    <w:rsid w:val="00B674B9"/>
    <w:rsid w:val="00BA3743"/>
    <w:rsid w:val="00BB22FB"/>
    <w:rsid w:val="00BB5E12"/>
    <w:rsid w:val="00BC7B0C"/>
    <w:rsid w:val="00BD32F5"/>
    <w:rsid w:val="00BE555F"/>
    <w:rsid w:val="00BE66A6"/>
    <w:rsid w:val="00BF3534"/>
    <w:rsid w:val="00BF43E0"/>
    <w:rsid w:val="00C33F49"/>
    <w:rsid w:val="00C371B0"/>
    <w:rsid w:val="00C40065"/>
    <w:rsid w:val="00C44341"/>
    <w:rsid w:val="00C56561"/>
    <w:rsid w:val="00C7250F"/>
    <w:rsid w:val="00C74552"/>
    <w:rsid w:val="00CE0823"/>
    <w:rsid w:val="00CF544D"/>
    <w:rsid w:val="00D0266C"/>
    <w:rsid w:val="00D11CB8"/>
    <w:rsid w:val="00D26D87"/>
    <w:rsid w:val="00D33AF9"/>
    <w:rsid w:val="00D363F7"/>
    <w:rsid w:val="00D42526"/>
    <w:rsid w:val="00D447F1"/>
    <w:rsid w:val="00D47536"/>
    <w:rsid w:val="00D72985"/>
    <w:rsid w:val="00D7456D"/>
    <w:rsid w:val="00D7508B"/>
    <w:rsid w:val="00D76084"/>
    <w:rsid w:val="00DA52E0"/>
    <w:rsid w:val="00DC63EE"/>
    <w:rsid w:val="00DD7C56"/>
    <w:rsid w:val="00DE24C8"/>
    <w:rsid w:val="00DF6665"/>
    <w:rsid w:val="00DF6F7E"/>
    <w:rsid w:val="00DF7B12"/>
    <w:rsid w:val="00E26799"/>
    <w:rsid w:val="00E34F08"/>
    <w:rsid w:val="00E41EA1"/>
    <w:rsid w:val="00E61AB8"/>
    <w:rsid w:val="00E706DA"/>
    <w:rsid w:val="00E75DEF"/>
    <w:rsid w:val="00E83E93"/>
    <w:rsid w:val="00E90EB5"/>
    <w:rsid w:val="00E91F07"/>
    <w:rsid w:val="00E94FBF"/>
    <w:rsid w:val="00EA711B"/>
    <w:rsid w:val="00EC772B"/>
    <w:rsid w:val="00ED640F"/>
    <w:rsid w:val="00EE2C84"/>
    <w:rsid w:val="00EF0C2D"/>
    <w:rsid w:val="00EF6D60"/>
    <w:rsid w:val="00F037E8"/>
    <w:rsid w:val="00F45161"/>
    <w:rsid w:val="00F46E78"/>
    <w:rsid w:val="00F5642A"/>
    <w:rsid w:val="00F841A1"/>
    <w:rsid w:val="00F857BC"/>
    <w:rsid w:val="00F86F9B"/>
    <w:rsid w:val="00FA59F5"/>
    <w:rsid w:val="00FC03CA"/>
    <w:rsid w:val="00FC2009"/>
    <w:rsid w:val="00FC228B"/>
    <w:rsid w:val="00FC2309"/>
    <w:rsid w:val="00FD4693"/>
    <w:rsid w:val="00FE5690"/>
    <w:rsid w:val="00FE78B1"/>
    <w:rsid w:val="00FF0F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CCC4B86-6235-46F3-BD8F-C40EE9AF8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91C"/>
  </w:style>
  <w:style w:type="paragraph" w:styleId="Ttulo1">
    <w:name w:val="heading 1"/>
    <w:basedOn w:val="Normal"/>
    <w:next w:val="Normal"/>
    <w:link w:val="Ttulo1Car"/>
    <w:uiPriority w:val="9"/>
    <w:qFormat/>
    <w:rsid w:val="00E83E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D79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E706D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TextonotapieCar">
    <w:name w:val="Texto nota pie Car"/>
    <w:basedOn w:val="Fuentedeprrafopredeter"/>
    <w:link w:val="Textonotapie"/>
    <w:uiPriority w:val="99"/>
    <w:rsid w:val="00E706DA"/>
    <w:rPr>
      <w:rFonts w:ascii="Times New Roman" w:eastAsia="Arial Unicode MS" w:hAnsi="Times New Roman" w:cs="Times New Roman"/>
      <w:sz w:val="20"/>
      <w:szCs w:val="20"/>
      <w:bdr w:val="nil"/>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706DA"/>
    <w:rPr>
      <w:vertAlign w:val="superscript"/>
    </w:rPr>
  </w:style>
  <w:style w:type="paragraph" w:styleId="Piedepgina">
    <w:name w:val="footer"/>
    <w:basedOn w:val="Normal"/>
    <w:link w:val="PiedepginaCar"/>
    <w:uiPriority w:val="99"/>
    <w:unhideWhenUsed/>
    <w:rsid w:val="00E706DA"/>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Times New Roman"/>
      <w:sz w:val="24"/>
      <w:szCs w:val="24"/>
      <w:bdr w:val="nil"/>
    </w:rPr>
  </w:style>
  <w:style w:type="character" w:customStyle="1" w:styleId="PiedepginaCar">
    <w:name w:val="Pie de página Car"/>
    <w:basedOn w:val="Fuentedeprrafopredeter"/>
    <w:link w:val="Piedepgina"/>
    <w:uiPriority w:val="99"/>
    <w:rsid w:val="00E706DA"/>
    <w:rPr>
      <w:rFonts w:ascii="Times New Roman" w:eastAsia="Arial Unicode MS" w:hAnsi="Times New Roman" w:cs="Times New Roman"/>
      <w:sz w:val="24"/>
      <w:szCs w:val="24"/>
      <w:bdr w:val="nil"/>
    </w:rPr>
  </w:style>
  <w:style w:type="paragraph" w:styleId="Encabezado">
    <w:name w:val="header"/>
    <w:basedOn w:val="Normal"/>
    <w:link w:val="EncabezadoCar"/>
    <w:uiPriority w:val="99"/>
    <w:unhideWhenUsed/>
    <w:rsid w:val="00E706DA"/>
    <w:pPr>
      <w:pBdr>
        <w:top w:val="nil"/>
        <w:left w:val="nil"/>
        <w:bottom w:val="nil"/>
        <w:right w:val="nil"/>
        <w:between w:val="nil"/>
        <w:bar w:val="nil"/>
      </w:pBdr>
      <w:tabs>
        <w:tab w:val="center" w:pos="4419"/>
        <w:tab w:val="right" w:pos="8838"/>
      </w:tabs>
      <w:spacing w:after="0" w:line="240" w:lineRule="auto"/>
    </w:pPr>
    <w:rPr>
      <w:rFonts w:ascii="Times New Roman" w:eastAsia="Arial Unicode MS" w:hAnsi="Times New Roman" w:cs="Times New Roman"/>
      <w:sz w:val="24"/>
      <w:szCs w:val="24"/>
      <w:bdr w:val="nil"/>
    </w:rPr>
  </w:style>
  <w:style w:type="character" w:customStyle="1" w:styleId="EncabezadoCar">
    <w:name w:val="Encabezado Car"/>
    <w:basedOn w:val="Fuentedeprrafopredeter"/>
    <w:link w:val="Encabezado"/>
    <w:uiPriority w:val="99"/>
    <w:rsid w:val="00E706DA"/>
    <w:rPr>
      <w:rFonts w:ascii="Times New Roman" w:eastAsia="Arial Unicode MS" w:hAnsi="Times New Roman" w:cs="Times New Roman"/>
      <w:sz w:val="24"/>
      <w:szCs w:val="24"/>
      <w:bdr w:val="nil"/>
    </w:rPr>
  </w:style>
  <w:style w:type="table" w:styleId="Tabladecuadrcula1clara">
    <w:name w:val="Grid Table 1 Light"/>
    <w:basedOn w:val="Tablanormal"/>
    <w:uiPriority w:val="46"/>
    <w:rsid w:val="00E706DA"/>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706DA"/>
    <w:pPr>
      <w:ind w:left="720"/>
      <w:contextualSpacing/>
    </w:pPr>
  </w:style>
  <w:style w:type="paragraph" w:styleId="Textodeglobo">
    <w:name w:val="Balloon Text"/>
    <w:basedOn w:val="Normal"/>
    <w:link w:val="TextodegloboCar"/>
    <w:uiPriority w:val="99"/>
    <w:semiHidden/>
    <w:unhideWhenUsed/>
    <w:rsid w:val="005A32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3267"/>
    <w:rPr>
      <w:rFonts w:ascii="Segoe UI" w:hAnsi="Segoe UI" w:cs="Segoe UI"/>
      <w:sz w:val="18"/>
      <w:szCs w:val="18"/>
    </w:rPr>
  </w:style>
  <w:style w:type="character" w:customStyle="1" w:styleId="Ttulo1Car">
    <w:name w:val="Título 1 Car"/>
    <w:basedOn w:val="Fuentedeprrafopredeter"/>
    <w:link w:val="Ttulo1"/>
    <w:uiPriority w:val="9"/>
    <w:rsid w:val="00E83E93"/>
    <w:rPr>
      <w:rFonts w:asciiTheme="majorHAnsi" w:eastAsiaTheme="majorEastAsia" w:hAnsiTheme="majorHAnsi" w:cstheme="majorBidi"/>
      <w:color w:val="2E74B5" w:themeColor="accent1" w:themeShade="BF"/>
      <w:sz w:val="32"/>
      <w:szCs w:val="3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83E93"/>
  </w:style>
  <w:style w:type="paragraph" w:styleId="TtulodeTDC">
    <w:name w:val="TOC Heading"/>
    <w:basedOn w:val="Ttulo1"/>
    <w:next w:val="Normal"/>
    <w:uiPriority w:val="39"/>
    <w:unhideWhenUsed/>
    <w:qFormat/>
    <w:rsid w:val="00E83E93"/>
    <w:pPr>
      <w:outlineLvl w:val="9"/>
    </w:pPr>
    <w:rPr>
      <w:lang w:eastAsia="es-MX"/>
    </w:rPr>
  </w:style>
  <w:style w:type="paragraph" w:styleId="TDC1">
    <w:name w:val="toc 1"/>
    <w:basedOn w:val="Normal"/>
    <w:next w:val="Normal"/>
    <w:autoRedefine/>
    <w:uiPriority w:val="39"/>
    <w:unhideWhenUsed/>
    <w:rsid w:val="003C7244"/>
    <w:pPr>
      <w:tabs>
        <w:tab w:val="left" w:pos="440"/>
        <w:tab w:val="right" w:leader="dot" w:pos="8828"/>
      </w:tabs>
      <w:spacing w:after="100" w:line="720" w:lineRule="auto"/>
    </w:pPr>
  </w:style>
  <w:style w:type="character" w:styleId="Hipervnculo">
    <w:name w:val="Hyperlink"/>
    <w:basedOn w:val="Fuentedeprrafopredeter"/>
    <w:uiPriority w:val="99"/>
    <w:unhideWhenUsed/>
    <w:rsid w:val="00E83E93"/>
    <w:rPr>
      <w:color w:val="0563C1" w:themeColor="hyperlink"/>
      <w:u w:val="single"/>
    </w:rPr>
  </w:style>
  <w:style w:type="paragraph" w:styleId="Sinespaciado">
    <w:name w:val="No Spacing"/>
    <w:aliases w:val="Francesa"/>
    <w:link w:val="SinespaciadoCar"/>
    <w:uiPriority w:val="1"/>
    <w:qFormat/>
    <w:rsid w:val="00850252"/>
    <w:pPr>
      <w:spacing w:after="0" w:line="240" w:lineRule="auto"/>
    </w:pPr>
  </w:style>
  <w:style w:type="character" w:customStyle="1" w:styleId="apple-converted-space">
    <w:name w:val="apple-converted-space"/>
    <w:basedOn w:val="Fuentedeprrafopredeter"/>
    <w:rsid w:val="0046491C"/>
  </w:style>
  <w:style w:type="table" w:styleId="Tablaconcuadrcula">
    <w:name w:val="Table Grid"/>
    <w:basedOn w:val="Tablanormal"/>
    <w:uiPriority w:val="59"/>
    <w:rsid w:val="00AE479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DA52E0"/>
    <w:pPr>
      <w:spacing w:after="100"/>
      <w:ind w:left="220"/>
    </w:pPr>
  </w:style>
  <w:style w:type="character" w:customStyle="1" w:styleId="Ttulo2Car">
    <w:name w:val="Título 2 Car"/>
    <w:basedOn w:val="Fuentedeprrafopredeter"/>
    <w:link w:val="Ttulo2"/>
    <w:uiPriority w:val="9"/>
    <w:rsid w:val="005D79D3"/>
    <w:rPr>
      <w:rFonts w:asciiTheme="majorHAnsi" w:eastAsiaTheme="majorEastAsia" w:hAnsiTheme="majorHAnsi" w:cstheme="majorBidi"/>
      <w:color w:val="2E74B5" w:themeColor="accent1" w:themeShade="BF"/>
      <w:sz w:val="26"/>
      <w:szCs w:val="26"/>
    </w:rPr>
  </w:style>
  <w:style w:type="character" w:customStyle="1" w:styleId="SinespaciadoCar">
    <w:name w:val="Sin espaciado Car"/>
    <w:aliases w:val="Francesa Car"/>
    <w:link w:val="Sinespaciado"/>
    <w:uiPriority w:val="1"/>
    <w:locked/>
    <w:rsid w:val="00175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2192602">
      <w:bodyDiv w:val="1"/>
      <w:marLeft w:val="0"/>
      <w:marRight w:val="0"/>
      <w:marTop w:val="0"/>
      <w:marBottom w:val="0"/>
      <w:divBdr>
        <w:top w:val="none" w:sz="0" w:space="0" w:color="auto"/>
        <w:left w:val="none" w:sz="0" w:space="0" w:color="auto"/>
        <w:bottom w:val="none" w:sz="0" w:space="0" w:color="auto"/>
        <w:right w:val="none" w:sz="0" w:space="0" w:color="auto"/>
      </w:divBdr>
    </w:div>
    <w:div w:id="20253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83F87-AE04-48CA-8DC4-21ABE4BC6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17</Pages>
  <Words>3304</Words>
  <Characters>18172</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marianna .A.</cp:lastModifiedBy>
  <cp:revision>11</cp:revision>
  <cp:lastPrinted>2019-01-11T21:40:00Z</cp:lastPrinted>
  <dcterms:created xsi:type="dcterms:W3CDTF">2019-01-11T02:15:00Z</dcterms:created>
  <dcterms:modified xsi:type="dcterms:W3CDTF">2019-01-11T21:40:00Z</dcterms:modified>
</cp:coreProperties>
</file>